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2E8DBD" w14:textId="72766EBF" w:rsidR="00F77736" w:rsidRDefault="002C4259" w:rsidP="00556A31">
      <w:pPr>
        <w:spacing w:after="0" w:line="240" w:lineRule="auto"/>
        <w:jc w:val="center"/>
        <w:rPr>
          <w:rFonts w:cs="Arial"/>
          <w:b/>
          <w:bCs/>
          <w:sz w:val="24"/>
          <w:szCs w:val="24"/>
        </w:rPr>
      </w:pPr>
      <w:r w:rsidRPr="002C4259">
        <w:rPr>
          <w:rFonts w:cs="Arial"/>
          <w:b/>
          <w:bCs/>
          <w:sz w:val="24"/>
          <w:szCs w:val="24"/>
        </w:rPr>
        <w:t>The SEEA as a framework for the Beyond GDP initiativ</w:t>
      </w:r>
      <w:r w:rsidR="00F77736" w:rsidRPr="00556A31">
        <w:rPr>
          <w:rFonts w:cs="Arial"/>
          <w:b/>
          <w:bCs/>
          <w:sz w:val="24"/>
          <w:szCs w:val="24"/>
        </w:rPr>
        <w:t>e</w:t>
      </w:r>
    </w:p>
    <w:p w14:paraId="0496300F" w14:textId="77777777" w:rsidR="002C4259" w:rsidRPr="005075C4" w:rsidRDefault="002C4259" w:rsidP="00556A31">
      <w:pPr>
        <w:spacing w:after="0" w:line="240" w:lineRule="auto"/>
        <w:jc w:val="center"/>
        <w:rPr>
          <w:rFonts w:cs="Arial"/>
          <w:b/>
          <w:bCs/>
          <w:sz w:val="24"/>
          <w:szCs w:val="24"/>
        </w:rPr>
      </w:pPr>
    </w:p>
    <w:p w14:paraId="7AA33F84" w14:textId="586BFE69" w:rsidR="00556A31" w:rsidRPr="00556A31" w:rsidRDefault="00A72CB5" w:rsidP="00556A31">
      <w:pPr>
        <w:jc w:val="both"/>
        <w:rPr>
          <w:b/>
          <w:bCs/>
          <w:lang w:val="es-MX"/>
        </w:rPr>
      </w:pPr>
      <w:proofErr w:type="spellStart"/>
      <w:r w:rsidRPr="005075C4">
        <w:rPr>
          <w:b/>
          <w:bCs/>
          <w:lang w:val="es-MX"/>
        </w:rPr>
        <w:t>Prepared</w:t>
      </w:r>
      <w:proofErr w:type="spellEnd"/>
      <w:r w:rsidRPr="005075C4">
        <w:rPr>
          <w:b/>
          <w:bCs/>
          <w:lang w:val="es-MX"/>
        </w:rPr>
        <w:t xml:space="preserve"> </w:t>
      </w:r>
      <w:proofErr w:type="spellStart"/>
      <w:r w:rsidRPr="005075C4">
        <w:rPr>
          <w:b/>
          <w:bCs/>
          <w:lang w:val="es-MX"/>
        </w:rPr>
        <w:t>by</w:t>
      </w:r>
      <w:proofErr w:type="spellEnd"/>
      <w:r w:rsidRPr="005075C4">
        <w:rPr>
          <w:b/>
          <w:bCs/>
          <w:lang w:val="es-MX"/>
        </w:rPr>
        <w:t>: Raúl Figueroa, Alejandro Ramírez, Héctor Olguín</w:t>
      </w:r>
      <w:r w:rsidR="002C4259">
        <w:rPr>
          <w:b/>
          <w:bCs/>
          <w:lang w:val="es-MX"/>
        </w:rPr>
        <w:t xml:space="preserve"> and</w:t>
      </w:r>
      <w:r w:rsidRPr="005075C4">
        <w:rPr>
          <w:b/>
          <w:bCs/>
          <w:lang w:val="es-MX"/>
        </w:rPr>
        <w:t xml:space="preserve"> David Pahua.</w:t>
      </w:r>
    </w:p>
    <w:p w14:paraId="6619080C" w14:textId="77777777" w:rsidR="00556A31" w:rsidRPr="00556A31" w:rsidRDefault="00556A31" w:rsidP="00556A31">
      <w:pPr>
        <w:spacing w:after="0" w:line="240" w:lineRule="auto"/>
        <w:jc w:val="both"/>
        <w:rPr>
          <w:rFonts w:cs="Arial"/>
          <w:b/>
          <w:bCs/>
          <w:sz w:val="24"/>
          <w:szCs w:val="24"/>
          <w:lang w:val="es-MX"/>
        </w:rPr>
      </w:pPr>
    </w:p>
    <w:p w14:paraId="3B25D99D" w14:textId="1F7382D2" w:rsidR="00F77736" w:rsidRPr="005075C4" w:rsidRDefault="00F77736" w:rsidP="00556A31">
      <w:pPr>
        <w:spacing w:after="0" w:line="240" w:lineRule="auto"/>
        <w:jc w:val="both"/>
        <w:rPr>
          <w:rFonts w:cs="Arial"/>
          <w:sz w:val="24"/>
          <w:szCs w:val="24"/>
        </w:rPr>
      </w:pPr>
      <w:r w:rsidRPr="00556A31">
        <w:rPr>
          <w:rFonts w:cs="Arial"/>
          <w:sz w:val="24"/>
          <w:szCs w:val="24"/>
        </w:rPr>
        <w:t xml:space="preserve">The Beyond GDP debate often focuses on the identification of new indicators of well-being, sustainability, and inclusion. However, </w:t>
      </w:r>
      <w:r w:rsidRPr="00556A31">
        <w:rPr>
          <w:rFonts w:cs="Arial"/>
          <w:b/>
          <w:bCs/>
          <w:sz w:val="24"/>
          <w:szCs w:val="24"/>
        </w:rPr>
        <w:t>an equally important question is whether there is a statistical infrastructure capable of integrating these indicators into a coherent framework</w:t>
      </w:r>
      <w:r w:rsidRPr="00556A31">
        <w:rPr>
          <w:rFonts w:cs="Arial"/>
          <w:sz w:val="24"/>
          <w:szCs w:val="24"/>
        </w:rPr>
        <w:t xml:space="preserve">. In this sense, the </w:t>
      </w:r>
      <w:r w:rsidR="005075C4" w:rsidRPr="00556A31">
        <w:rPr>
          <w:rFonts w:cs="Arial"/>
          <w:sz w:val="24"/>
          <w:szCs w:val="24"/>
        </w:rPr>
        <w:t xml:space="preserve">System of Environmental-Economic Accounting </w:t>
      </w:r>
      <w:r w:rsidR="005075C4">
        <w:rPr>
          <w:rFonts w:cs="Arial"/>
          <w:sz w:val="24"/>
          <w:szCs w:val="24"/>
        </w:rPr>
        <w:t>(</w:t>
      </w:r>
      <w:r w:rsidRPr="00556A31">
        <w:rPr>
          <w:rFonts w:cs="Arial"/>
          <w:sz w:val="24"/>
          <w:szCs w:val="24"/>
        </w:rPr>
        <w:t>SEEA</w:t>
      </w:r>
      <w:r w:rsidR="005075C4">
        <w:rPr>
          <w:rFonts w:cs="Arial"/>
          <w:sz w:val="24"/>
          <w:szCs w:val="24"/>
        </w:rPr>
        <w:t>)</w:t>
      </w:r>
      <w:r w:rsidRPr="00556A31">
        <w:rPr>
          <w:rFonts w:cs="Arial"/>
          <w:sz w:val="24"/>
          <w:szCs w:val="24"/>
        </w:rPr>
        <w:t xml:space="preserve"> offers a unique comparative advantage as it is not only a system for producing environmental indicators, but an accounting framework that allows environmental, economic, and potentially social information to be related under consistent and internationally comparable principles.</w:t>
      </w:r>
    </w:p>
    <w:p w14:paraId="4DD0358C" w14:textId="77777777" w:rsidR="00A72CB5" w:rsidRPr="005075C4" w:rsidRDefault="00A72CB5" w:rsidP="00556A31">
      <w:pPr>
        <w:spacing w:after="0" w:line="240" w:lineRule="auto"/>
        <w:jc w:val="both"/>
        <w:rPr>
          <w:rFonts w:cs="Arial"/>
          <w:sz w:val="24"/>
          <w:szCs w:val="24"/>
        </w:rPr>
      </w:pPr>
    </w:p>
    <w:p w14:paraId="361A20E5" w14:textId="77777777" w:rsidR="00F77736" w:rsidRPr="005075C4" w:rsidRDefault="00F77736" w:rsidP="00556A31">
      <w:pPr>
        <w:spacing w:after="0" w:line="240" w:lineRule="auto"/>
        <w:jc w:val="both"/>
        <w:rPr>
          <w:rFonts w:cs="Arial"/>
          <w:sz w:val="24"/>
          <w:szCs w:val="24"/>
        </w:rPr>
      </w:pPr>
      <w:r w:rsidRPr="00556A31">
        <w:rPr>
          <w:rFonts w:cs="Arial"/>
          <w:sz w:val="24"/>
          <w:szCs w:val="24"/>
        </w:rPr>
        <w:t xml:space="preserve">This feature makes the SEEA a potential "statistical integrator" of the Beyond GDP agenda. While many indicators of well-being are produced independently and with little interoperability, environmental and ecosystem accounts make it possible to establish explicit links between natural capital, economic activity, and social outcomes. The strategic question is no longer just how to best measure nature, but </w:t>
      </w:r>
      <w:r w:rsidRPr="00556A31">
        <w:rPr>
          <w:rFonts w:cs="Arial"/>
          <w:b/>
          <w:bCs/>
          <w:sz w:val="24"/>
          <w:szCs w:val="24"/>
        </w:rPr>
        <w:t>how to use the SEEA architecture to connect the environmental, social, and economic dimensions in an operational way for decision-making</w:t>
      </w:r>
      <w:r w:rsidRPr="00556A31">
        <w:rPr>
          <w:rFonts w:cs="Arial"/>
          <w:sz w:val="24"/>
          <w:szCs w:val="24"/>
        </w:rPr>
        <w:t>.</w:t>
      </w:r>
    </w:p>
    <w:p w14:paraId="587E2EF0" w14:textId="77777777" w:rsidR="00A72CB5" w:rsidRPr="005075C4" w:rsidRDefault="00A72CB5" w:rsidP="00556A31">
      <w:pPr>
        <w:spacing w:after="0" w:line="240" w:lineRule="auto"/>
        <w:jc w:val="both"/>
        <w:rPr>
          <w:rFonts w:cs="Arial"/>
          <w:sz w:val="24"/>
          <w:szCs w:val="24"/>
        </w:rPr>
      </w:pPr>
    </w:p>
    <w:p w14:paraId="1F4B685E" w14:textId="456C112F" w:rsidR="00F77736" w:rsidRPr="005075C4" w:rsidRDefault="00F77736" w:rsidP="00556A31">
      <w:pPr>
        <w:spacing w:after="0" w:line="240" w:lineRule="auto"/>
        <w:jc w:val="both"/>
        <w:rPr>
          <w:rFonts w:cs="Arial"/>
          <w:sz w:val="24"/>
          <w:szCs w:val="24"/>
        </w:rPr>
      </w:pPr>
      <w:r w:rsidRPr="00556A31">
        <w:rPr>
          <w:rFonts w:cs="Arial"/>
          <w:sz w:val="24"/>
          <w:szCs w:val="24"/>
        </w:rPr>
        <w:t xml:space="preserve">Consequently, a key question is to determine </w:t>
      </w:r>
      <w:r w:rsidRPr="00556A31">
        <w:rPr>
          <w:rFonts w:cs="Arial"/>
          <w:b/>
          <w:bCs/>
          <w:sz w:val="24"/>
          <w:szCs w:val="24"/>
        </w:rPr>
        <w:t>to what extent the SEEA can evolve from an environmental accounting framework to a statistical integration platform for the Beyond GDP agenda</w:t>
      </w:r>
      <w:r w:rsidRPr="00556A31">
        <w:rPr>
          <w:rFonts w:cs="Arial"/>
          <w:sz w:val="24"/>
          <w:szCs w:val="24"/>
        </w:rPr>
        <w:t>. This involves exploring new connections with dimensions such as income distribution, gender, vulnerability, territorial well-being and governance, while maintaining the conceptual rigor that characterizes our accounting system.</w:t>
      </w:r>
    </w:p>
    <w:p w14:paraId="3050A3C9" w14:textId="77777777" w:rsidR="00A72CB5" w:rsidRPr="005075C4" w:rsidRDefault="00A72CB5" w:rsidP="00556A31">
      <w:pPr>
        <w:spacing w:after="0" w:line="240" w:lineRule="auto"/>
        <w:jc w:val="both"/>
        <w:rPr>
          <w:rFonts w:cs="Arial"/>
          <w:sz w:val="24"/>
          <w:szCs w:val="24"/>
        </w:rPr>
      </w:pPr>
    </w:p>
    <w:p w14:paraId="6966892D" w14:textId="77777777" w:rsidR="00E70ACC" w:rsidRPr="005075C4" w:rsidRDefault="00E70ACC" w:rsidP="00556A31">
      <w:pPr>
        <w:spacing w:after="0" w:line="240" w:lineRule="auto"/>
        <w:jc w:val="both"/>
        <w:rPr>
          <w:rFonts w:cs="Arial"/>
          <w:sz w:val="24"/>
          <w:szCs w:val="24"/>
        </w:rPr>
      </w:pPr>
      <w:r w:rsidRPr="00556A31">
        <w:rPr>
          <w:rFonts w:cs="Arial"/>
          <w:sz w:val="24"/>
          <w:szCs w:val="24"/>
        </w:rPr>
        <w:t xml:space="preserve">The report by the High-Level Expert Group confirms that the Beyond GDP agenda will need a solid statistical infrastructure to integrate the economic, social and environmental dimensions of progress. Satellite accounts and particularly </w:t>
      </w:r>
      <w:proofErr w:type="gramStart"/>
      <w:r w:rsidRPr="00556A31">
        <w:rPr>
          <w:rFonts w:cs="Arial"/>
          <w:b/>
          <w:bCs/>
          <w:sz w:val="24"/>
          <w:szCs w:val="24"/>
        </w:rPr>
        <w:t>the SEEA</w:t>
      </w:r>
      <w:proofErr w:type="gramEnd"/>
      <w:r w:rsidRPr="00556A31">
        <w:rPr>
          <w:rFonts w:cs="Arial"/>
          <w:b/>
          <w:bCs/>
          <w:sz w:val="24"/>
          <w:szCs w:val="24"/>
        </w:rPr>
        <w:t xml:space="preserve"> offer a strategic advantage because they already have a conceptual, methodological and institutional framework compatible with the System of National Accounts</w:t>
      </w:r>
      <w:r w:rsidRPr="00556A31">
        <w:rPr>
          <w:rFonts w:cs="Arial"/>
          <w:sz w:val="24"/>
          <w:szCs w:val="24"/>
        </w:rPr>
        <w:t>. The challenge for the coming years is to expand this integrative capacity towards issues of well-being, equity, gender and distribution of benefits derived from natural capital and ecosystem services.</w:t>
      </w:r>
    </w:p>
    <w:p w14:paraId="5B341636" w14:textId="77777777" w:rsidR="00E70ACC" w:rsidRPr="005075C4" w:rsidRDefault="00E70ACC" w:rsidP="00556A31">
      <w:pPr>
        <w:spacing w:after="0" w:line="240" w:lineRule="auto"/>
        <w:jc w:val="both"/>
        <w:rPr>
          <w:rFonts w:cs="Arial"/>
          <w:sz w:val="24"/>
          <w:szCs w:val="24"/>
        </w:rPr>
      </w:pPr>
    </w:p>
    <w:p w14:paraId="5730EAA4" w14:textId="1E290E3D" w:rsidR="001B15B7" w:rsidRDefault="001B15B7" w:rsidP="00556A31">
      <w:pPr>
        <w:spacing w:after="0" w:line="240" w:lineRule="auto"/>
        <w:jc w:val="both"/>
        <w:rPr>
          <w:rFonts w:cs="Arial"/>
          <w:sz w:val="24"/>
          <w:szCs w:val="24"/>
        </w:rPr>
      </w:pPr>
      <w:r w:rsidRPr="00556A31">
        <w:rPr>
          <w:rFonts w:cs="Arial"/>
          <w:sz w:val="24"/>
          <w:szCs w:val="24"/>
        </w:rPr>
        <w:t xml:space="preserve">The Beyond GDP debate often focuses on the search for new indicators that can better represent </w:t>
      </w:r>
      <w:r w:rsidRPr="00556A31">
        <w:rPr>
          <w:rFonts w:cs="Arial"/>
          <w:b/>
          <w:bCs/>
          <w:sz w:val="24"/>
          <w:szCs w:val="24"/>
        </w:rPr>
        <w:t>well-being, sustainability and social inclusion</w:t>
      </w:r>
      <w:r w:rsidRPr="00556A31">
        <w:rPr>
          <w:rFonts w:cs="Arial"/>
          <w:sz w:val="24"/>
          <w:szCs w:val="24"/>
        </w:rPr>
        <w:t xml:space="preserve">. An equally relevant question, however, is whether there is a </w:t>
      </w:r>
      <w:r w:rsidRPr="00556A31">
        <w:rPr>
          <w:rFonts w:cs="Arial"/>
          <w:b/>
          <w:bCs/>
          <w:sz w:val="24"/>
          <w:szCs w:val="24"/>
        </w:rPr>
        <w:t>statistical infrastructure capable of integrating these dimensions within a coherent and operational framework</w:t>
      </w:r>
      <w:r w:rsidRPr="00556A31">
        <w:rPr>
          <w:rFonts w:cs="Arial"/>
          <w:sz w:val="24"/>
          <w:szCs w:val="24"/>
        </w:rPr>
        <w:t xml:space="preserve"> for public policymaking. In this context, the </w:t>
      </w:r>
      <w:r w:rsidR="005075C4">
        <w:rPr>
          <w:rFonts w:cs="Arial"/>
          <w:sz w:val="24"/>
          <w:szCs w:val="24"/>
        </w:rPr>
        <w:t xml:space="preserve">SEEA </w:t>
      </w:r>
      <w:r w:rsidRPr="00556A31">
        <w:rPr>
          <w:rFonts w:cs="Arial"/>
          <w:sz w:val="24"/>
          <w:szCs w:val="24"/>
        </w:rPr>
        <w:t xml:space="preserve">has a unique advantage. Rather than a mechanism for producing environmental indicators, it is an </w:t>
      </w:r>
      <w:r w:rsidRPr="00556A31">
        <w:rPr>
          <w:rFonts w:cs="Arial"/>
          <w:b/>
          <w:bCs/>
          <w:sz w:val="24"/>
          <w:szCs w:val="24"/>
        </w:rPr>
        <w:t>accounting system designed to integrate economic and environmental information through concepts, classifications and structures compatible with the System of National Accounts</w:t>
      </w:r>
      <w:r w:rsidRPr="00556A31">
        <w:rPr>
          <w:rFonts w:cs="Arial"/>
          <w:sz w:val="24"/>
          <w:szCs w:val="24"/>
        </w:rPr>
        <w:t xml:space="preserve"> (SNA).</w:t>
      </w:r>
    </w:p>
    <w:p w14:paraId="704C6945" w14:textId="77777777" w:rsidR="005075C4" w:rsidRPr="005075C4" w:rsidRDefault="005075C4" w:rsidP="00556A31">
      <w:pPr>
        <w:spacing w:after="0" w:line="240" w:lineRule="auto"/>
        <w:jc w:val="both"/>
        <w:rPr>
          <w:rFonts w:cs="Arial"/>
          <w:sz w:val="24"/>
          <w:szCs w:val="24"/>
        </w:rPr>
      </w:pPr>
    </w:p>
    <w:p w14:paraId="0AA684ED" w14:textId="77777777" w:rsidR="001B15B7" w:rsidRPr="005075C4" w:rsidRDefault="001B15B7" w:rsidP="00556A31">
      <w:pPr>
        <w:spacing w:after="0" w:line="240" w:lineRule="auto"/>
        <w:jc w:val="both"/>
        <w:rPr>
          <w:rFonts w:cs="Arial"/>
          <w:sz w:val="24"/>
          <w:szCs w:val="24"/>
        </w:rPr>
      </w:pPr>
      <w:r w:rsidRPr="00556A31">
        <w:rPr>
          <w:rFonts w:cs="Arial"/>
          <w:sz w:val="24"/>
          <w:szCs w:val="24"/>
        </w:rPr>
        <w:t xml:space="preserve">This paper argues that the main potential contribution of the SEEA to the Beyond GDP agenda lies not only in the indicators it generates, but in </w:t>
      </w:r>
      <w:r w:rsidRPr="00556A31">
        <w:rPr>
          <w:rFonts w:cs="Arial"/>
          <w:b/>
          <w:bCs/>
          <w:sz w:val="24"/>
          <w:szCs w:val="24"/>
        </w:rPr>
        <w:t>its ability to function as an integrative statistical infrastructure</w:t>
      </w:r>
      <w:r w:rsidRPr="00556A31">
        <w:rPr>
          <w:rFonts w:cs="Arial"/>
          <w:sz w:val="24"/>
          <w:szCs w:val="24"/>
        </w:rPr>
        <w:t>. Based on the recent evolution of the international statistical system, including the adoption of the SEEA Ecosystem Accounting (SEEA EA) as an international standard, the adoption of the 2025 SNA, and the ongoing update of the SEEA Central Framework (SEEA-CF), it discusses how the SEEA can contribute to articulating the economic, environmental, and social dimensions within a broader information architecture oriented towards well-being and sustainability.</w:t>
      </w:r>
    </w:p>
    <w:p w14:paraId="4683F0CB" w14:textId="77777777" w:rsidR="00EC369F" w:rsidRPr="005075C4" w:rsidRDefault="00EC369F" w:rsidP="00556A31">
      <w:pPr>
        <w:spacing w:after="0" w:line="240" w:lineRule="auto"/>
        <w:jc w:val="both"/>
        <w:rPr>
          <w:rFonts w:cs="Arial"/>
          <w:sz w:val="24"/>
          <w:szCs w:val="24"/>
        </w:rPr>
      </w:pPr>
    </w:p>
    <w:p w14:paraId="3146286D" w14:textId="1D40C039" w:rsidR="001B15B7" w:rsidRPr="005075C4" w:rsidRDefault="001B15B7" w:rsidP="00556A31">
      <w:pPr>
        <w:spacing w:after="0" w:line="240" w:lineRule="auto"/>
        <w:jc w:val="both"/>
        <w:rPr>
          <w:rFonts w:cs="Arial"/>
          <w:sz w:val="24"/>
          <w:szCs w:val="24"/>
        </w:rPr>
      </w:pPr>
      <w:r w:rsidRPr="00556A31">
        <w:rPr>
          <w:rFonts w:cs="Arial"/>
          <w:sz w:val="24"/>
          <w:szCs w:val="24"/>
        </w:rPr>
        <w:t xml:space="preserve">It also examines Mexico's experience as an illustrative case, highlighting the trajectory of </w:t>
      </w:r>
      <w:r w:rsidR="009940E9" w:rsidRPr="00556A31">
        <w:rPr>
          <w:rFonts w:cs="Arial"/>
          <w:sz w:val="24"/>
          <w:szCs w:val="24"/>
        </w:rPr>
        <w:t xml:space="preserve">System of Environmental-Economic Accounting </w:t>
      </w:r>
      <w:r w:rsidR="009940E9">
        <w:rPr>
          <w:rFonts w:cs="Arial"/>
          <w:sz w:val="24"/>
          <w:szCs w:val="24"/>
        </w:rPr>
        <w:t xml:space="preserve">of México </w:t>
      </w:r>
      <w:r w:rsidRPr="00556A31">
        <w:rPr>
          <w:rFonts w:cs="Arial"/>
          <w:sz w:val="24"/>
          <w:szCs w:val="24"/>
        </w:rPr>
        <w:t>(</w:t>
      </w:r>
      <w:r w:rsidR="005075C4">
        <w:rPr>
          <w:rFonts w:cs="Arial"/>
          <w:sz w:val="24"/>
          <w:szCs w:val="24"/>
        </w:rPr>
        <w:t>SEEA Mx</w:t>
      </w:r>
      <w:r w:rsidRPr="00556A31">
        <w:rPr>
          <w:rFonts w:cs="Arial"/>
          <w:sz w:val="24"/>
          <w:szCs w:val="24"/>
        </w:rPr>
        <w:t xml:space="preserve">) and </w:t>
      </w:r>
      <w:r w:rsidR="00D254B2" w:rsidRPr="00556A31">
        <w:rPr>
          <w:rFonts w:cs="Arial"/>
          <w:sz w:val="24"/>
          <w:szCs w:val="24"/>
        </w:rPr>
        <w:t>System of Environmental-Economic Accounting</w:t>
      </w:r>
      <w:r w:rsidR="00D254B2">
        <w:rPr>
          <w:rFonts w:cs="Arial"/>
          <w:sz w:val="24"/>
          <w:szCs w:val="24"/>
        </w:rPr>
        <w:t xml:space="preserve"> – Ecosystem Accounting</w:t>
      </w:r>
      <w:r w:rsidR="00D254B2" w:rsidRPr="00556A31">
        <w:rPr>
          <w:rFonts w:cs="Arial"/>
          <w:sz w:val="24"/>
          <w:szCs w:val="24"/>
        </w:rPr>
        <w:t xml:space="preserve"> </w:t>
      </w:r>
      <w:r w:rsidR="00D254B2">
        <w:rPr>
          <w:rFonts w:cs="Arial"/>
          <w:sz w:val="24"/>
          <w:szCs w:val="24"/>
        </w:rPr>
        <w:t xml:space="preserve">of México </w:t>
      </w:r>
      <w:r w:rsidR="00D254B2" w:rsidRPr="00556A31">
        <w:rPr>
          <w:rFonts w:cs="Arial"/>
          <w:sz w:val="24"/>
          <w:szCs w:val="24"/>
        </w:rPr>
        <w:t>(</w:t>
      </w:r>
      <w:r w:rsidR="00D254B2">
        <w:rPr>
          <w:rFonts w:cs="Arial"/>
          <w:sz w:val="24"/>
          <w:szCs w:val="24"/>
        </w:rPr>
        <w:t>SEEA</w:t>
      </w:r>
      <w:r w:rsidR="00D254B2">
        <w:rPr>
          <w:rFonts w:cs="Arial"/>
          <w:sz w:val="24"/>
          <w:szCs w:val="24"/>
        </w:rPr>
        <w:t>-EA</w:t>
      </w:r>
      <w:r w:rsidR="00D254B2">
        <w:rPr>
          <w:rFonts w:cs="Arial"/>
          <w:sz w:val="24"/>
          <w:szCs w:val="24"/>
        </w:rPr>
        <w:t xml:space="preserve"> Mx</w:t>
      </w:r>
      <w:r w:rsidR="00D254B2" w:rsidRPr="00556A31">
        <w:rPr>
          <w:rFonts w:cs="Arial"/>
          <w:sz w:val="24"/>
          <w:szCs w:val="24"/>
        </w:rPr>
        <w:t>)</w:t>
      </w:r>
      <w:r w:rsidRPr="00556A31">
        <w:rPr>
          <w:rFonts w:cs="Arial"/>
          <w:sz w:val="24"/>
          <w:szCs w:val="24"/>
        </w:rPr>
        <w:t>, as well as their potential contribution to the development of a national Beyond GDP architecture.</w:t>
      </w:r>
    </w:p>
    <w:p w14:paraId="2793E4C8" w14:textId="77777777" w:rsidR="00E70ACC" w:rsidRPr="005075C4" w:rsidRDefault="00E70ACC" w:rsidP="00556A31">
      <w:pPr>
        <w:spacing w:after="0" w:line="240" w:lineRule="auto"/>
        <w:jc w:val="both"/>
        <w:rPr>
          <w:rFonts w:cs="Arial"/>
          <w:sz w:val="24"/>
          <w:szCs w:val="24"/>
        </w:rPr>
      </w:pPr>
    </w:p>
    <w:p w14:paraId="4D47CD5A" w14:textId="2D4A14A2" w:rsidR="001B15B7" w:rsidRPr="005075C4" w:rsidRDefault="00A72CB5" w:rsidP="00556A31">
      <w:pPr>
        <w:spacing w:after="0" w:line="240" w:lineRule="auto"/>
        <w:jc w:val="both"/>
        <w:rPr>
          <w:rFonts w:cs="Arial"/>
          <w:b/>
          <w:bCs/>
          <w:sz w:val="24"/>
          <w:szCs w:val="24"/>
        </w:rPr>
      </w:pPr>
      <w:r w:rsidRPr="00556A31">
        <w:rPr>
          <w:rFonts w:cs="Arial"/>
          <w:b/>
          <w:bCs/>
          <w:sz w:val="24"/>
          <w:szCs w:val="24"/>
        </w:rPr>
        <w:t>THE HIGH-LEVEL EXPERT GROUP AND THE NEED FOR A BEYOND GDP STATISTICAL INFRASTRUCTURE</w:t>
      </w:r>
    </w:p>
    <w:p w14:paraId="6C3E7F40" w14:textId="77777777" w:rsidR="00A72CB5" w:rsidRPr="005075C4" w:rsidRDefault="00A72CB5" w:rsidP="00556A31">
      <w:pPr>
        <w:spacing w:after="0" w:line="240" w:lineRule="auto"/>
        <w:jc w:val="both"/>
        <w:rPr>
          <w:rFonts w:cs="Arial"/>
          <w:b/>
          <w:bCs/>
          <w:sz w:val="24"/>
          <w:szCs w:val="24"/>
        </w:rPr>
      </w:pPr>
    </w:p>
    <w:p w14:paraId="569DDCF2" w14:textId="0E064E4A" w:rsidR="001B15B7" w:rsidRPr="005075C4" w:rsidRDefault="001B15B7" w:rsidP="00556A31">
      <w:pPr>
        <w:spacing w:after="0" w:line="240" w:lineRule="auto"/>
        <w:jc w:val="both"/>
        <w:rPr>
          <w:rFonts w:cs="Arial"/>
          <w:sz w:val="24"/>
          <w:szCs w:val="24"/>
        </w:rPr>
      </w:pPr>
      <w:r w:rsidRPr="00556A31">
        <w:rPr>
          <w:rFonts w:cs="Arial"/>
          <w:sz w:val="24"/>
          <w:szCs w:val="24"/>
        </w:rPr>
        <w:t xml:space="preserve">The international discussion on Beyond GDP has evolved from questioning the limits of GDP to building information frameworks capable of more fully representing economic, social and environmental progress. In this context, the </w:t>
      </w:r>
      <w:r w:rsidRPr="00556A31">
        <w:rPr>
          <w:rFonts w:cs="Arial"/>
          <w:i/>
          <w:iCs/>
          <w:sz w:val="24"/>
          <w:szCs w:val="24"/>
        </w:rPr>
        <w:t>High-Level Expert Group on Beyond GDP</w:t>
      </w:r>
      <w:r w:rsidRPr="00556A31">
        <w:rPr>
          <w:rFonts w:cs="Arial"/>
          <w:sz w:val="24"/>
          <w:szCs w:val="24"/>
        </w:rPr>
        <w:t xml:space="preserve"> has pointed out that </w:t>
      </w:r>
      <w:r w:rsidRPr="00556A31">
        <w:rPr>
          <w:rFonts w:cs="Arial"/>
          <w:b/>
          <w:bCs/>
          <w:sz w:val="24"/>
          <w:szCs w:val="24"/>
        </w:rPr>
        <w:t>one of the central challenges is not only to identify new indicators, but also to develop a statistical infrastructure that allows the different dimensions of well-being and sustainability to be coherently integrated</w:t>
      </w:r>
      <w:r w:rsidRPr="00556A31">
        <w:rPr>
          <w:rFonts w:cs="Arial"/>
          <w:sz w:val="24"/>
          <w:szCs w:val="24"/>
        </w:rPr>
        <w:t>.</w:t>
      </w:r>
    </w:p>
    <w:p w14:paraId="5A019B89" w14:textId="77777777" w:rsidR="00A72CB5" w:rsidRPr="005075C4" w:rsidRDefault="00A72CB5" w:rsidP="00556A31">
      <w:pPr>
        <w:spacing w:after="0" w:line="240" w:lineRule="auto"/>
        <w:jc w:val="both"/>
        <w:rPr>
          <w:rFonts w:cs="Arial"/>
          <w:sz w:val="24"/>
          <w:szCs w:val="24"/>
        </w:rPr>
      </w:pPr>
    </w:p>
    <w:p w14:paraId="0132154C" w14:textId="1754EB15" w:rsidR="001B15B7" w:rsidRPr="005075C4" w:rsidRDefault="001B15B7" w:rsidP="00556A31">
      <w:pPr>
        <w:spacing w:after="0" w:line="240" w:lineRule="auto"/>
        <w:jc w:val="both"/>
        <w:rPr>
          <w:rFonts w:cs="Arial"/>
          <w:sz w:val="24"/>
          <w:szCs w:val="24"/>
        </w:rPr>
      </w:pPr>
      <w:r w:rsidRPr="00556A31">
        <w:rPr>
          <w:rFonts w:cs="Arial"/>
          <w:sz w:val="24"/>
          <w:szCs w:val="24"/>
        </w:rPr>
        <w:t xml:space="preserve">This perspective is particularly relevant for official statistical systems. The proliferation of indicators of well-being, sustainability, inequality, resilience and territorial development has significantly expanded the availability of information for decision-making. However, </w:t>
      </w:r>
      <w:r w:rsidRPr="00556A31">
        <w:rPr>
          <w:rFonts w:cs="Arial"/>
          <w:b/>
          <w:bCs/>
          <w:sz w:val="24"/>
          <w:szCs w:val="24"/>
        </w:rPr>
        <w:t>the existence of multiple indicators does not in itself guarantee analytical coherence or the possibility of understanding the interrelationships between economic, environmental and social phenomena</w:t>
      </w:r>
      <w:r w:rsidRPr="00556A31">
        <w:rPr>
          <w:rFonts w:cs="Arial"/>
          <w:sz w:val="24"/>
          <w:szCs w:val="24"/>
        </w:rPr>
        <w:t xml:space="preserve">. From this perspective, the main need identified by the international statistical community is to move from an approach focused on isolated indicators to integrated information systems. </w:t>
      </w:r>
    </w:p>
    <w:p w14:paraId="6ED42EDF" w14:textId="77777777" w:rsidR="00A72CB5" w:rsidRPr="005075C4" w:rsidRDefault="00A72CB5" w:rsidP="00556A31">
      <w:pPr>
        <w:spacing w:after="0" w:line="240" w:lineRule="auto"/>
        <w:jc w:val="both"/>
        <w:rPr>
          <w:rFonts w:cs="Arial"/>
          <w:sz w:val="24"/>
          <w:szCs w:val="24"/>
        </w:rPr>
      </w:pPr>
    </w:p>
    <w:p w14:paraId="7967AEDE" w14:textId="5A5E8817" w:rsidR="001B15B7" w:rsidRPr="005075C4" w:rsidRDefault="001B15B7" w:rsidP="00556A31">
      <w:pPr>
        <w:spacing w:after="0" w:line="240" w:lineRule="auto"/>
        <w:jc w:val="both"/>
        <w:rPr>
          <w:rFonts w:cs="Arial"/>
          <w:sz w:val="24"/>
          <w:szCs w:val="24"/>
        </w:rPr>
      </w:pPr>
      <w:r w:rsidRPr="00556A31">
        <w:rPr>
          <w:rFonts w:cs="Arial"/>
          <w:sz w:val="24"/>
          <w:szCs w:val="24"/>
        </w:rPr>
        <w:t xml:space="preserve">The SEEA is particularly relevant in this debate because it is one of the few international statistical frameworks that already </w:t>
      </w:r>
      <w:proofErr w:type="gramStart"/>
      <w:r w:rsidRPr="00556A31">
        <w:rPr>
          <w:rFonts w:cs="Arial"/>
          <w:sz w:val="24"/>
          <w:szCs w:val="24"/>
        </w:rPr>
        <w:t>has</w:t>
      </w:r>
      <w:proofErr w:type="gramEnd"/>
      <w:r w:rsidRPr="00556A31">
        <w:rPr>
          <w:rFonts w:cs="Arial"/>
          <w:sz w:val="24"/>
          <w:szCs w:val="24"/>
        </w:rPr>
        <w:t xml:space="preserve"> </w:t>
      </w:r>
      <w:r w:rsidR="00725EC5" w:rsidRPr="00556A31">
        <w:rPr>
          <w:rFonts w:cs="Arial"/>
          <w:sz w:val="24"/>
          <w:szCs w:val="24"/>
        </w:rPr>
        <w:t>conceptual</w:t>
      </w:r>
      <w:r w:rsidRPr="00556A31">
        <w:rPr>
          <w:rFonts w:cs="Arial"/>
          <w:sz w:val="24"/>
          <w:szCs w:val="24"/>
        </w:rPr>
        <w:t xml:space="preserve">, methodological and institutional architecture compatible with the System of National Accounts. </w:t>
      </w:r>
      <w:r w:rsidRPr="00556A31">
        <w:rPr>
          <w:rFonts w:cs="Arial"/>
          <w:b/>
          <w:bCs/>
          <w:sz w:val="24"/>
          <w:szCs w:val="24"/>
        </w:rPr>
        <w:t>Its accounting structure makes it possible to link natural resources, environmental assets, ecosystem services and economic activities through principles of consistency, comparability and statistical traceability</w:t>
      </w:r>
      <w:r w:rsidRPr="00556A31">
        <w:rPr>
          <w:rFonts w:cs="Arial"/>
          <w:sz w:val="24"/>
          <w:szCs w:val="24"/>
        </w:rPr>
        <w:t>. Consequently, the potential value of the SEEA for the Beyond GDP agenda transcends the production of specific environmental indicators and relates to its ability to function as a platform for integration between different statistical domains.</w:t>
      </w:r>
    </w:p>
    <w:p w14:paraId="7FBCF6C9" w14:textId="77777777" w:rsidR="00A72CB5" w:rsidRPr="005075C4" w:rsidRDefault="00A72CB5" w:rsidP="00556A31">
      <w:pPr>
        <w:spacing w:after="0" w:line="240" w:lineRule="auto"/>
        <w:jc w:val="both"/>
        <w:rPr>
          <w:rFonts w:cs="Arial"/>
          <w:sz w:val="24"/>
          <w:szCs w:val="24"/>
        </w:rPr>
      </w:pPr>
    </w:p>
    <w:p w14:paraId="19AC6593" w14:textId="211A8228" w:rsidR="001B15B7" w:rsidRPr="005075C4" w:rsidRDefault="001B15B7" w:rsidP="00556A31">
      <w:pPr>
        <w:spacing w:after="0" w:line="240" w:lineRule="auto"/>
        <w:jc w:val="both"/>
        <w:rPr>
          <w:rFonts w:cs="Arial"/>
          <w:b/>
          <w:bCs/>
          <w:sz w:val="24"/>
          <w:szCs w:val="24"/>
        </w:rPr>
      </w:pPr>
      <w:r w:rsidRPr="00556A31">
        <w:rPr>
          <w:rFonts w:cs="Arial"/>
          <w:sz w:val="24"/>
          <w:szCs w:val="24"/>
        </w:rPr>
        <w:t xml:space="preserve">From this perspective, </w:t>
      </w:r>
      <w:r w:rsidRPr="00556A31">
        <w:rPr>
          <w:rFonts w:cs="Arial"/>
          <w:b/>
          <w:bCs/>
          <w:sz w:val="24"/>
          <w:szCs w:val="24"/>
        </w:rPr>
        <w:t>the strategic question</w:t>
      </w:r>
      <w:r w:rsidRPr="00556A31">
        <w:rPr>
          <w:rFonts w:cs="Arial"/>
          <w:sz w:val="24"/>
          <w:szCs w:val="24"/>
        </w:rPr>
        <w:t xml:space="preserve"> for the coming years is not only how to scale up the measurement of nature or well-being, but </w:t>
      </w:r>
      <w:r w:rsidRPr="00556A31">
        <w:rPr>
          <w:rFonts w:cs="Arial"/>
          <w:b/>
          <w:bCs/>
          <w:sz w:val="24"/>
          <w:szCs w:val="24"/>
        </w:rPr>
        <w:t>to what extent the SEEA can contribute to articulating a statistical infrastructure capable of connecting information on economic activity, natural capital, ecosystem services, human well-being and benefit sharing</w:t>
      </w:r>
      <w:r w:rsidRPr="00556A31">
        <w:rPr>
          <w:rFonts w:cs="Arial"/>
          <w:sz w:val="24"/>
          <w:szCs w:val="24"/>
        </w:rPr>
        <w:t xml:space="preserve">. This question is particularly relevant for the London Group, given that </w:t>
      </w:r>
      <w:r w:rsidRPr="00556A31">
        <w:rPr>
          <w:rFonts w:cs="Arial"/>
          <w:b/>
          <w:bCs/>
          <w:sz w:val="24"/>
          <w:szCs w:val="24"/>
        </w:rPr>
        <w:t xml:space="preserve">future developments in the SEEA could play an important role in the statistical </w:t>
      </w:r>
      <w:proofErr w:type="spellStart"/>
      <w:r w:rsidRPr="00556A31">
        <w:rPr>
          <w:rFonts w:cs="Arial"/>
          <w:b/>
          <w:bCs/>
          <w:sz w:val="24"/>
          <w:szCs w:val="24"/>
        </w:rPr>
        <w:t>operationalisation</w:t>
      </w:r>
      <w:proofErr w:type="spellEnd"/>
      <w:r w:rsidRPr="00556A31">
        <w:rPr>
          <w:rFonts w:cs="Arial"/>
          <w:b/>
          <w:bCs/>
          <w:sz w:val="24"/>
          <w:szCs w:val="24"/>
        </w:rPr>
        <w:t xml:space="preserve"> of the Beyond GDP agenda.</w:t>
      </w:r>
    </w:p>
    <w:p w14:paraId="75B97E5E" w14:textId="77777777" w:rsidR="00556A31" w:rsidRPr="005075C4" w:rsidRDefault="00556A31" w:rsidP="00556A31">
      <w:pPr>
        <w:spacing w:after="0" w:line="240" w:lineRule="auto"/>
        <w:jc w:val="both"/>
        <w:rPr>
          <w:rFonts w:cs="Arial"/>
          <w:sz w:val="24"/>
          <w:szCs w:val="24"/>
        </w:rPr>
      </w:pPr>
    </w:p>
    <w:p w14:paraId="27E5261B" w14:textId="29256AA9" w:rsidR="008D6C70" w:rsidRPr="00556A31" w:rsidRDefault="008D6C70" w:rsidP="00A72CB5">
      <w:pPr>
        <w:spacing w:after="0" w:line="240" w:lineRule="auto"/>
        <w:jc w:val="center"/>
        <w:rPr>
          <w:rFonts w:cs="Arial"/>
          <w:sz w:val="24"/>
          <w:szCs w:val="24"/>
          <w:lang w:val="es-MX"/>
        </w:rPr>
      </w:pPr>
      <w:r w:rsidRPr="00556A31">
        <w:rPr>
          <w:rFonts w:cs="Arial"/>
          <w:noProof/>
          <w:sz w:val="24"/>
          <w:szCs w:val="24"/>
        </w:rPr>
        <w:drawing>
          <wp:inline distT="0" distB="0" distL="0" distR="0" wp14:anchorId="3659A394" wp14:editId="39F65105">
            <wp:extent cx="4526103" cy="5863590"/>
            <wp:effectExtent l="0" t="0" r="8255" b="3810"/>
            <wp:docPr id="214709682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535939" cy="5876333"/>
                    </a:xfrm>
                    <a:prstGeom prst="rect">
                      <a:avLst/>
                    </a:prstGeom>
                    <a:noFill/>
                    <a:ln>
                      <a:noFill/>
                    </a:ln>
                  </pic:spPr>
                </pic:pic>
              </a:graphicData>
            </a:graphic>
          </wp:inline>
        </w:drawing>
      </w:r>
    </w:p>
    <w:p w14:paraId="6711DD42" w14:textId="77777777" w:rsidR="005075C4" w:rsidRDefault="005075C4" w:rsidP="00556A31">
      <w:pPr>
        <w:spacing w:after="0" w:line="240" w:lineRule="auto"/>
        <w:jc w:val="both"/>
        <w:rPr>
          <w:rFonts w:cs="Arial"/>
          <w:b/>
          <w:bCs/>
          <w:sz w:val="24"/>
          <w:szCs w:val="24"/>
        </w:rPr>
      </w:pPr>
    </w:p>
    <w:p w14:paraId="2B98B213" w14:textId="1671FF97" w:rsidR="00044715" w:rsidRPr="005075C4" w:rsidRDefault="00044715" w:rsidP="00556A31">
      <w:pPr>
        <w:spacing w:after="0" w:line="240" w:lineRule="auto"/>
        <w:jc w:val="both"/>
        <w:rPr>
          <w:rFonts w:cs="Arial"/>
          <w:sz w:val="24"/>
          <w:szCs w:val="24"/>
        </w:rPr>
      </w:pPr>
      <w:r w:rsidRPr="00556A31">
        <w:rPr>
          <w:rFonts w:cs="Arial"/>
          <w:b/>
          <w:bCs/>
          <w:sz w:val="24"/>
          <w:szCs w:val="24"/>
        </w:rPr>
        <w:t>Integrated architecture for the Beyond GDP agenda.</w:t>
      </w:r>
      <w:r w:rsidRPr="00556A31">
        <w:rPr>
          <w:rFonts w:cs="Arial"/>
          <w:sz w:val="24"/>
          <w:szCs w:val="24"/>
        </w:rPr>
        <w:t xml:space="preserve"> The System of National Accounts (SNA) provides the structure for measuring economic activity. On this basis, </w:t>
      </w:r>
      <w:r w:rsidR="00725EC5" w:rsidRPr="00556A31">
        <w:rPr>
          <w:rFonts w:cs="Arial"/>
          <w:sz w:val="24"/>
          <w:szCs w:val="24"/>
        </w:rPr>
        <w:t>SEEA</w:t>
      </w:r>
      <w:r w:rsidRPr="00556A31">
        <w:rPr>
          <w:rFonts w:cs="Arial"/>
          <w:sz w:val="24"/>
          <w:szCs w:val="24"/>
        </w:rPr>
        <w:t xml:space="preserve"> </w:t>
      </w:r>
      <w:r w:rsidR="005075C4">
        <w:rPr>
          <w:rFonts w:cs="Arial"/>
          <w:sz w:val="24"/>
          <w:szCs w:val="24"/>
        </w:rPr>
        <w:t>CF</w:t>
      </w:r>
      <w:r w:rsidRPr="00556A31">
        <w:rPr>
          <w:rFonts w:cs="Arial"/>
          <w:sz w:val="24"/>
          <w:szCs w:val="24"/>
        </w:rPr>
        <w:t xml:space="preserve"> incorporates information on natural resources, environmental </w:t>
      </w:r>
      <w:r w:rsidRPr="00556A31">
        <w:rPr>
          <w:rFonts w:cs="Arial"/>
          <w:sz w:val="24"/>
          <w:szCs w:val="24"/>
        </w:rPr>
        <w:lastRenderedPageBreak/>
        <w:t xml:space="preserve">assets, and environmental pressures, allowing economy and environment to be connected. The SEEA </w:t>
      </w:r>
      <w:r w:rsidR="005075C4">
        <w:rPr>
          <w:rFonts w:cs="Arial"/>
          <w:sz w:val="24"/>
          <w:szCs w:val="24"/>
        </w:rPr>
        <w:t>EA</w:t>
      </w:r>
      <w:r w:rsidRPr="00556A31">
        <w:rPr>
          <w:rFonts w:cs="Arial"/>
          <w:sz w:val="24"/>
          <w:szCs w:val="24"/>
        </w:rPr>
        <w:t xml:space="preserve"> extends this integration by accounting for ecosystems, ecosystem services, and ecosystem assets with an explicitly territorial perspective. Finally, the combination of these statistical systems provides a basis for linking economic performance to well-being, equity, and sustainability outcomes, contributing to the development of a coherent statistical infrastructure for the Beyond GDP agenda.</w:t>
      </w:r>
    </w:p>
    <w:p w14:paraId="448EF0C4" w14:textId="77777777" w:rsidR="00E70ACC" w:rsidRPr="005075C4" w:rsidRDefault="00E70ACC" w:rsidP="00556A31">
      <w:pPr>
        <w:spacing w:after="0" w:line="240" w:lineRule="auto"/>
        <w:jc w:val="both"/>
        <w:rPr>
          <w:rFonts w:cs="Arial"/>
          <w:sz w:val="24"/>
          <w:szCs w:val="24"/>
        </w:rPr>
      </w:pPr>
    </w:p>
    <w:p w14:paraId="4BF6F51C" w14:textId="628B66DD" w:rsidR="00BB229D" w:rsidRPr="005075C4" w:rsidRDefault="00A72CB5" w:rsidP="00556A31">
      <w:pPr>
        <w:spacing w:after="0" w:line="240" w:lineRule="auto"/>
        <w:jc w:val="both"/>
        <w:rPr>
          <w:rFonts w:cs="Arial"/>
          <w:b/>
          <w:bCs/>
          <w:sz w:val="24"/>
          <w:szCs w:val="24"/>
        </w:rPr>
      </w:pPr>
      <w:r w:rsidRPr="00556A31">
        <w:rPr>
          <w:rFonts w:cs="Arial"/>
          <w:b/>
          <w:bCs/>
          <w:sz w:val="24"/>
          <w:szCs w:val="24"/>
        </w:rPr>
        <w:t>SEEA UPDATE: WHAT'S CHANGED AND WHY IT MATTERS</w:t>
      </w:r>
    </w:p>
    <w:p w14:paraId="35F6153C" w14:textId="77777777" w:rsidR="00A72CB5" w:rsidRPr="005075C4" w:rsidRDefault="00A72CB5" w:rsidP="00556A31">
      <w:pPr>
        <w:spacing w:after="0" w:line="240" w:lineRule="auto"/>
        <w:jc w:val="both"/>
        <w:rPr>
          <w:rFonts w:cs="Arial"/>
          <w:b/>
          <w:bCs/>
          <w:sz w:val="24"/>
          <w:szCs w:val="24"/>
        </w:rPr>
      </w:pPr>
    </w:p>
    <w:p w14:paraId="39D3E904" w14:textId="3D9BC90D" w:rsidR="00BB229D" w:rsidRPr="005075C4" w:rsidRDefault="005075C4" w:rsidP="00556A31">
      <w:pPr>
        <w:spacing w:after="0" w:line="240" w:lineRule="auto"/>
        <w:jc w:val="both"/>
        <w:rPr>
          <w:rFonts w:cs="Arial"/>
          <w:sz w:val="24"/>
          <w:szCs w:val="24"/>
        </w:rPr>
      </w:pPr>
      <w:r w:rsidRPr="00556A31">
        <w:rPr>
          <w:rFonts w:cs="Arial"/>
          <w:sz w:val="24"/>
          <w:szCs w:val="24"/>
        </w:rPr>
        <w:t>SEEA</w:t>
      </w:r>
      <w:r w:rsidR="00BB229D" w:rsidRPr="00556A31">
        <w:rPr>
          <w:rFonts w:cs="Arial"/>
          <w:sz w:val="24"/>
          <w:szCs w:val="24"/>
        </w:rPr>
        <w:t xml:space="preserve"> </w:t>
      </w:r>
      <w:r>
        <w:rPr>
          <w:rFonts w:cs="Arial"/>
          <w:sz w:val="24"/>
          <w:szCs w:val="24"/>
        </w:rPr>
        <w:t>CF</w:t>
      </w:r>
      <w:r w:rsidR="00BB229D" w:rsidRPr="00556A31">
        <w:rPr>
          <w:rFonts w:cs="Arial"/>
          <w:sz w:val="24"/>
          <w:szCs w:val="24"/>
        </w:rPr>
        <w:t xml:space="preserve"> 2012 is the international reference standard for economic-environmental accounting. Its structure includes environmental flow accounts, environmental assets and economic activities related to the environment. Its main virtue, in alignment with Beyond GDP, is </w:t>
      </w:r>
      <w:r w:rsidRPr="00556A31">
        <w:rPr>
          <w:rFonts w:cs="Arial"/>
          <w:sz w:val="24"/>
          <w:szCs w:val="24"/>
        </w:rPr>
        <w:t>that it</w:t>
      </w:r>
      <w:r w:rsidR="00BB229D" w:rsidRPr="00556A31">
        <w:rPr>
          <w:rFonts w:cs="Arial"/>
          <w:sz w:val="24"/>
          <w:szCs w:val="24"/>
        </w:rPr>
        <w:t xml:space="preserve"> </w:t>
      </w:r>
      <w:r w:rsidR="00BB229D" w:rsidRPr="00556A31">
        <w:rPr>
          <w:rFonts w:cs="Arial"/>
          <w:b/>
          <w:bCs/>
          <w:sz w:val="24"/>
          <w:szCs w:val="24"/>
        </w:rPr>
        <w:t>does not require the construction of a single indicator: it generates a multipurpose system from which numerous indicators can be derived</w:t>
      </w:r>
      <w:r w:rsidR="00BB229D" w:rsidRPr="00556A31">
        <w:rPr>
          <w:rFonts w:cs="Arial"/>
          <w:sz w:val="24"/>
          <w:szCs w:val="24"/>
        </w:rPr>
        <w:t>.</w:t>
      </w:r>
    </w:p>
    <w:p w14:paraId="362CB38F" w14:textId="77777777" w:rsidR="00A72CB5" w:rsidRPr="005075C4" w:rsidRDefault="00A72CB5" w:rsidP="00556A31">
      <w:pPr>
        <w:spacing w:after="0" w:line="240" w:lineRule="auto"/>
        <w:jc w:val="both"/>
        <w:rPr>
          <w:rFonts w:cs="Arial"/>
          <w:sz w:val="24"/>
          <w:szCs w:val="24"/>
        </w:rPr>
      </w:pPr>
    </w:p>
    <w:p w14:paraId="119EFEBF" w14:textId="26B4132C" w:rsidR="00BB229D" w:rsidRDefault="00BB229D" w:rsidP="00556A31">
      <w:pPr>
        <w:spacing w:after="0" w:line="240" w:lineRule="auto"/>
        <w:jc w:val="both"/>
        <w:rPr>
          <w:rFonts w:cs="Arial"/>
          <w:sz w:val="24"/>
          <w:szCs w:val="24"/>
        </w:rPr>
      </w:pPr>
      <w:r w:rsidRPr="00556A31">
        <w:rPr>
          <w:rFonts w:cs="Arial"/>
          <w:sz w:val="24"/>
          <w:szCs w:val="24"/>
        </w:rPr>
        <w:t>However, since 2012, new demands for information have arisen, as policies require linking emissions, energy, assets and economic activity; the circular economy needs information on materials and waste; biodiversity requires connecting assets, ecosystems and services; and the energy transition requires identifying resources, technologies and investments. At the same time, the update of the SNA has modified relevant elements for the articulation between both systems.</w:t>
      </w:r>
    </w:p>
    <w:p w14:paraId="7C5AC927" w14:textId="77777777" w:rsidR="005075C4" w:rsidRPr="005075C4" w:rsidRDefault="005075C4" w:rsidP="00556A31">
      <w:pPr>
        <w:spacing w:after="0" w:line="240" w:lineRule="auto"/>
        <w:jc w:val="both"/>
        <w:rPr>
          <w:rFonts w:cs="Arial"/>
          <w:sz w:val="24"/>
          <w:szCs w:val="24"/>
        </w:rPr>
      </w:pPr>
    </w:p>
    <w:p w14:paraId="1B9F9305" w14:textId="0B8DDB41" w:rsidR="00BB229D" w:rsidRPr="005075C4" w:rsidRDefault="00BB229D" w:rsidP="00556A31">
      <w:pPr>
        <w:spacing w:after="0" w:line="240" w:lineRule="auto"/>
        <w:jc w:val="both"/>
        <w:rPr>
          <w:rFonts w:cs="Arial"/>
          <w:sz w:val="24"/>
          <w:szCs w:val="24"/>
        </w:rPr>
      </w:pPr>
      <w:r w:rsidRPr="00556A31">
        <w:rPr>
          <w:rFonts w:cs="Arial"/>
          <w:sz w:val="24"/>
          <w:szCs w:val="24"/>
        </w:rPr>
        <w:t>In 2024, the Statistical Commission endorsed the proposed update of the SEEA Central Framework, the process of which considers, among other aspects, the implications of the SNA 2025, the updating of classifications, thematic and extended accounts, as well as a more explicit connection to public policies. This means that the SEEA is not being replaced: it is being updated to maintain its consistency with the evolution of the international statistical system.</w:t>
      </w:r>
    </w:p>
    <w:p w14:paraId="3FAFE1BB" w14:textId="77777777" w:rsidR="00556A31" w:rsidRPr="005075C4" w:rsidRDefault="00556A31" w:rsidP="00556A31">
      <w:pPr>
        <w:spacing w:after="0" w:line="240" w:lineRule="auto"/>
        <w:jc w:val="both"/>
        <w:rPr>
          <w:rFonts w:cs="Arial"/>
          <w:sz w:val="24"/>
          <w:szCs w:val="24"/>
        </w:rPr>
      </w:pPr>
    </w:p>
    <w:p w14:paraId="53D7F20B" w14:textId="1B4E7684" w:rsidR="00BB229D" w:rsidRPr="005075C4" w:rsidRDefault="00A72CB5" w:rsidP="00556A31">
      <w:pPr>
        <w:spacing w:after="0" w:line="240" w:lineRule="auto"/>
        <w:jc w:val="both"/>
        <w:rPr>
          <w:rFonts w:cs="Arial"/>
          <w:b/>
          <w:bCs/>
          <w:sz w:val="24"/>
          <w:szCs w:val="24"/>
        </w:rPr>
      </w:pPr>
      <w:r w:rsidRPr="00556A31">
        <w:rPr>
          <w:rFonts w:cs="Arial"/>
          <w:b/>
          <w:bCs/>
          <w:sz w:val="24"/>
          <w:szCs w:val="24"/>
        </w:rPr>
        <w:t>THE SEEA ECOSYSTEM ACCOUNTING: FROM THE EXPERIMENTAL TO THE STANDARD</w:t>
      </w:r>
    </w:p>
    <w:p w14:paraId="219F619F" w14:textId="77777777" w:rsidR="00A72CB5" w:rsidRPr="005075C4" w:rsidRDefault="00A72CB5" w:rsidP="00556A31">
      <w:pPr>
        <w:spacing w:after="0" w:line="240" w:lineRule="auto"/>
        <w:jc w:val="both"/>
        <w:rPr>
          <w:rFonts w:cs="Arial"/>
          <w:b/>
          <w:bCs/>
          <w:sz w:val="24"/>
          <w:szCs w:val="24"/>
        </w:rPr>
      </w:pPr>
    </w:p>
    <w:p w14:paraId="1E6D77ED" w14:textId="2E7C003F" w:rsidR="00BB229D" w:rsidRDefault="00BB229D" w:rsidP="00556A31">
      <w:pPr>
        <w:spacing w:after="0" w:line="240" w:lineRule="auto"/>
        <w:jc w:val="both"/>
        <w:rPr>
          <w:rFonts w:cs="Arial"/>
          <w:sz w:val="24"/>
          <w:szCs w:val="24"/>
        </w:rPr>
      </w:pPr>
      <w:r w:rsidRPr="00556A31">
        <w:rPr>
          <w:rFonts w:cs="Arial"/>
          <w:sz w:val="24"/>
          <w:szCs w:val="24"/>
        </w:rPr>
        <w:t xml:space="preserve">The SEEA-EA represents one of the most important changes in recent environmental accounting. In March 2021, the Statistical Commission adopted the first seven chapters of the framework as an international statistical standard. Its structure is supported by four sections: (B) Accounting for ecosystem extent and condition, (c) Accounting for ecosystem services, (D) Monetary valuation and integrated accounting for ecosystem services and assets, and (E) Applications and extensions of SEEA.  </w:t>
      </w:r>
    </w:p>
    <w:p w14:paraId="40BA277A" w14:textId="77777777" w:rsidR="00556A31" w:rsidRPr="00556A31" w:rsidRDefault="00556A31" w:rsidP="00556A31">
      <w:pPr>
        <w:spacing w:after="0" w:line="240" w:lineRule="auto"/>
        <w:jc w:val="both"/>
        <w:rPr>
          <w:rFonts w:cs="Arial"/>
          <w:sz w:val="24"/>
          <w:szCs w:val="24"/>
        </w:rPr>
      </w:pPr>
    </w:p>
    <w:p w14:paraId="689E7019" w14:textId="77777777" w:rsidR="00BB229D" w:rsidRPr="005075C4" w:rsidRDefault="00BB229D" w:rsidP="00556A31">
      <w:pPr>
        <w:spacing w:after="0" w:line="240" w:lineRule="auto"/>
        <w:jc w:val="both"/>
        <w:rPr>
          <w:rFonts w:cs="Arial"/>
          <w:sz w:val="24"/>
          <w:szCs w:val="24"/>
        </w:rPr>
      </w:pPr>
      <w:r w:rsidRPr="00556A31">
        <w:rPr>
          <w:rFonts w:cs="Arial"/>
          <w:sz w:val="24"/>
          <w:szCs w:val="24"/>
        </w:rPr>
        <w:t>The importance of these accounts for Beyond GDP is twofold. First,</w:t>
      </w:r>
      <w:r w:rsidRPr="00556A31">
        <w:rPr>
          <w:rFonts w:cs="Arial"/>
          <w:b/>
          <w:bCs/>
          <w:sz w:val="24"/>
          <w:szCs w:val="24"/>
        </w:rPr>
        <w:t xml:space="preserve"> they make visible the contribution of nature to economic activity and well-being</w:t>
      </w:r>
      <w:r w:rsidRPr="00556A31">
        <w:rPr>
          <w:rFonts w:cs="Arial"/>
          <w:sz w:val="24"/>
          <w:szCs w:val="24"/>
        </w:rPr>
        <w:t xml:space="preserve">. Second, </w:t>
      </w:r>
      <w:r w:rsidRPr="00556A31">
        <w:rPr>
          <w:rFonts w:cs="Arial"/>
          <w:b/>
          <w:bCs/>
          <w:sz w:val="24"/>
          <w:szCs w:val="24"/>
        </w:rPr>
        <w:t xml:space="preserve">they allow us to observe changes in the natural base that </w:t>
      </w:r>
      <w:proofErr w:type="gramStart"/>
      <w:r w:rsidRPr="00556A31">
        <w:rPr>
          <w:rFonts w:cs="Arial"/>
          <w:b/>
          <w:bCs/>
          <w:sz w:val="24"/>
          <w:szCs w:val="24"/>
        </w:rPr>
        <w:t>sustains</w:t>
      </w:r>
      <w:proofErr w:type="gramEnd"/>
      <w:r w:rsidRPr="00556A31">
        <w:rPr>
          <w:rFonts w:cs="Arial"/>
          <w:b/>
          <w:bCs/>
          <w:sz w:val="24"/>
          <w:szCs w:val="24"/>
        </w:rPr>
        <w:t xml:space="preserve"> these benefits</w:t>
      </w:r>
      <w:r w:rsidRPr="00556A31">
        <w:rPr>
          <w:rFonts w:cs="Arial"/>
          <w:sz w:val="24"/>
          <w:szCs w:val="24"/>
        </w:rPr>
        <w:t xml:space="preserve">. </w:t>
      </w:r>
      <w:r w:rsidRPr="00556A31">
        <w:rPr>
          <w:rFonts w:cs="Arial"/>
          <w:b/>
          <w:bCs/>
          <w:sz w:val="24"/>
          <w:szCs w:val="24"/>
        </w:rPr>
        <w:t xml:space="preserve">An economy can increase its production over </w:t>
      </w:r>
      <w:proofErr w:type="gramStart"/>
      <w:r w:rsidRPr="00556A31">
        <w:rPr>
          <w:rFonts w:cs="Arial"/>
          <w:b/>
          <w:bCs/>
          <w:sz w:val="24"/>
          <w:szCs w:val="24"/>
        </w:rPr>
        <w:t>a period of time</w:t>
      </w:r>
      <w:proofErr w:type="gramEnd"/>
      <w:r w:rsidRPr="00556A31">
        <w:rPr>
          <w:rFonts w:cs="Arial"/>
          <w:b/>
          <w:bCs/>
          <w:sz w:val="24"/>
          <w:szCs w:val="24"/>
        </w:rPr>
        <w:t xml:space="preserve"> and, simultaneously, reduce the extent or condition of ecosystem assets</w:t>
      </w:r>
      <w:r w:rsidRPr="00556A31">
        <w:rPr>
          <w:rFonts w:cs="Arial"/>
          <w:sz w:val="24"/>
          <w:szCs w:val="24"/>
        </w:rPr>
        <w:t xml:space="preserve">. The SEEA </w:t>
      </w:r>
      <w:r w:rsidRPr="00556A31">
        <w:rPr>
          <w:rFonts w:cs="Arial"/>
          <w:sz w:val="24"/>
          <w:szCs w:val="24"/>
        </w:rPr>
        <w:lastRenderedPageBreak/>
        <w:t>EA allows both observations to be maintained within the same statistical system without claiming that they are equivalent.</w:t>
      </w:r>
    </w:p>
    <w:p w14:paraId="6D3F9CA0" w14:textId="77777777" w:rsidR="00556A31" w:rsidRPr="005075C4" w:rsidRDefault="00556A31" w:rsidP="00556A31">
      <w:pPr>
        <w:spacing w:after="0" w:line="240" w:lineRule="auto"/>
        <w:jc w:val="both"/>
        <w:rPr>
          <w:rFonts w:cs="Arial"/>
          <w:sz w:val="24"/>
          <w:szCs w:val="24"/>
        </w:rPr>
      </w:pPr>
    </w:p>
    <w:p w14:paraId="213F6758" w14:textId="7FCBB93C" w:rsidR="00BB229D" w:rsidRPr="005075C4" w:rsidRDefault="00BB229D" w:rsidP="00556A31">
      <w:pPr>
        <w:spacing w:after="0" w:line="240" w:lineRule="auto"/>
        <w:jc w:val="both"/>
        <w:rPr>
          <w:rFonts w:cs="Arial"/>
          <w:sz w:val="24"/>
          <w:szCs w:val="24"/>
        </w:rPr>
      </w:pPr>
      <w:r w:rsidRPr="00556A31">
        <w:rPr>
          <w:rFonts w:cs="Arial"/>
          <w:sz w:val="24"/>
          <w:szCs w:val="24"/>
        </w:rPr>
        <w:t xml:space="preserve">Another development is the possibility of developing thematic accounts such as biodiversity, climate change, oceans, forests, mangroves and protected areas, which can be </w:t>
      </w:r>
      <w:proofErr w:type="spellStart"/>
      <w:r w:rsidRPr="00556A31">
        <w:rPr>
          <w:rFonts w:cs="Arial"/>
          <w:sz w:val="24"/>
          <w:szCs w:val="24"/>
        </w:rPr>
        <w:t>analysed</w:t>
      </w:r>
      <w:proofErr w:type="spellEnd"/>
      <w:r w:rsidRPr="00556A31">
        <w:rPr>
          <w:rFonts w:cs="Arial"/>
          <w:sz w:val="24"/>
          <w:szCs w:val="24"/>
        </w:rPr>
        <w:t xml:space="preserve"> cross-sectionally using accounting information. This is particularly relevant for international policy frameworks, such as the </w:t>
      </w:r>
      <w:r w:rsidRPr="00556A31">
        <w:rPr>
          <w:rFonts w:cs="Arial"/>
          <w:b/>
          <w:bCs/>
          <w:sz w:val="24"/>
          <w:szCs w:val="24"/>
        </w:rPr>
        <w:t>Kunming-Montreal Global Biodiversity Framework and the Sustainable Development Goals</w:t>
      </w:r>
      <w:r w:rsidRPr="00556A31">
        <w:rPr>
          <w:rFonts w:cs="Arial"/>
          <w:sz w:val="24"/>
          <w:szCs w:val="24"/>
        </w:rPr>
        <w:t>.</w:t>
      </w:r>
    </w:p>
    <w:p w14:paraId="29DE8E4D" w14:textId="77777777" w:rsidR="000F39E3" w:rsidRPr="005075C4" w:rsidRDefault="000F39E3" w:rsidP="00556A31">
      <w:pPr>
        <w:spacing w:after="0" w:line="240" w:lineRule="auto"/>
        <w:jc w:val="both"/>
        <w:rPr>
          <w:rFonts w:cs="Arial"/>
          <w:sz w:val="24"/>
          <w:szCs w:val="24"/>
        </w:rPr>
      </w:pPr>
    </w:p>
    <w:p w14:paraId="186C62E7" w14:textId="3E19796C" w:rsidR="00BB229D" w:rsidRPr="005075C4" w:rsidRDefault="00A72CB5" w:rsidP="00556A31">
      <w:pPr>
        <w:spacing w:after="0" w:line="240" w:lineRule="auto"/>
        <w:jc w:val="both"/>
        <w:rPr>
          <w:rFonts w:cs="Arial"/>
          <w:b/>
          <w:bCs/>
          <w:sz w:val="24"/>
          <w:szCs w:val="24"/>
        </w:rPr>
      </w:pPr>
      <w:r w:rsidRPr="00556A31">
        <w:rPr>
          <w:rFonts w:cs="Arial"/>
          <w:b/>
          <w:bCs/>
          <w:sz w:val="24"/>
          <w:szCs w:val="24"/>
        </w:rPr>
        <w:t>THE CONNECTION TO THE SNA 2025</w:t>
      </w:r>
    </w:p>
    <w:p w14:paraId="343FF075" w14:textId="77777777" w:rsidR="00A72CB5" w:rsidRPr="005075C4" w:rsidRDefault="00A72CB5" w:rsidP="00556A31">
      <w:pPr>
        <w:spacing w:after="0" w:line="240" w:lineRule="auto"/>
        <w:jc w:val="both"/>
        <w:rPr>
          <w:rFonts w:cs="Arial"/>
          <w:b/>
          <w:bCs/>
          <w:sz w:val="24"/>
          <w:szCs w:val="24"/>
        </w:rPr>
      </w:pPr>
    </w:p>
    <w:p w14:paraId="111AF9C8" w14:textId="1A86CE55" w:rsidR="00BB229D" w:rsidRPr="005075C4" w:rsidRDefault="00BB229D" w:rsidP="00556A31">
      <w:pPr>
        <w:spacing w:after="0" w:line="240" w:lineRule="auto"/>
        <w:jc w:val="both"/>
        <w:rPr>
          <w:rFonts w:cs="Arial"/>
          <w:sz w:val="24"/>
          <w:szCs w:val="24"/>
        </w:rPr>
      </w:pPr>
      <w:r w:rsidRPr="00556A31">
        <w:rPr>
          <w:rFonts w:cs="Arial"/>
          <w:sz w:val="24"/>
          <w:szCs w:val="24"/>
        </w:rPr>
        <w:t>The adoption of the SNA</w:t>
      </w:r>
      <w:r w:rsidR="005075C4">
        <w:rPr>
          <w:rFonts w:cs="Arial"/>
          <w:sz w:val="24"/>
          <w:szCs w:val="24"/>
        </w:rPr>
        <w:t xml:space="preserve"> </w:t>
      </w:r>
      <w:r w:rsidR="005075C4" w:rsidRPr="00556A31">
        <w:rPr>
          <w:rFonts w:cs="Arial"/>
          <w:sz w:val="24"/>
          <w:szCs w:val="24"/>
        </w:rPr>
        <w:t xml:space="preserve">2025 </w:t>
      </w:r>
      <w:r w:rsidRPr="00556A31">
        <w:rPr>
          <w:rFonts w:cs="Arial"/>
          <w:sz w:val="24"/>
          <w:szCs w:val="24"/>
        </w:rPr>
        <w:t xml:space="preserve">changes the context in which the </w:t>
      </w:r>
      <w:r w:rsidR="005075C4">
        <w:rPr>
          <w:rFonts w:cs="Arial"/>
          <w:sz w:val="24"/>
          <w:szCs w:val="24"/>
        </w:rPr>
        <w:t>SEEA</w:t>
      </w:r>
      <w:r w:rsidRPr="00556A31">
        <w:rPr>
          <w:rFonts w:cs="Arial"/>
          <w:sz w:val="24"/>
          <w:szCs w:val="24"/>
        </w:rPr>
        <w:t xml:space="preserve"> should be interpreted. The new SNA retains the basic theoretical framework of the SNA</w:t>
      </w:r>
      <w:r w:rsidR="005075C4">
        <w:rPr>
          <w:rFonts w:cs="Arial"/>
          <w:sz w:val="24"/>
          <w:szCs w:val="24"/>
        </w:rPr>
        <w:t xml:space="preserve"> </w:t>
      </w:r>
      <w:r w:rsidR="00725EC5">
        <w:rPr>
          <w:rFonts w:cs="Arial"/>
          <w:sz w:val="24"/>
          <w:szCs w:val="24"/>
        </w:rPr>
        <w:t>2008</w:t>
      </w:r>
      <w:r w:rsidR="00725EC5" w:rsidRPr="00556A31">
        <w:rPr>
          <w:rFonts w:cs="Arial"/>
          <w:sz w:val="24"/>
          <w:szCs w:val="24"/>
        </w:rPr>
        <w:t xml:space="preserve"> but</w:t>
      </w:r>
      <w:r w:rsidRPr="00556A31">
        <w:rPr>
          <w:rFonts w:cs="Arial"/>
          <w:sz w:val="24"/>
          <w:szCs w:val="24"/>
        </w:rPr>
        <w:t xml:space="preserve"> incorporates treatments for emerging economic phenomena and strengthens the </w:t>
      </w:r>
      <w:r w:rsidRPr="00556A31">
        <w:rPr>
          <w:rFonts w:cs="Arial"/>
          <w:b/>
          <w:bCs/>
          <w:sz w:val="24"/>
          <w:szCs w:val="24"/>
        </w:rPr>
        <w:t>relationship between national accounts, welfare and sustainability</w:t>
      </w:r>
      <w:r w:rsidRPr="00556A31">
        <w:rPr>
          <w:rFonts w:cs="Arial"/>
          <w:sz w:val="24"/>
          <w:szCs w:val="24"/>
        </w:rPr>
        <w:t>. For Beyond GDP, this change is relevant because it reduces the conceptual distance between macroeconomic accounts and supplementary statistics.</w:t>
      </w:r>
    </w:p>
    <w:p w14:paraId="14D320ED" w14:textId="77777777" w:rsidR="00556A31" w:rsidRPr="005075C4" w:rsidRDefault="00556A31" w:rsidP="00556A31">
      <w:pPr>
        <w:spacing w:after="0" w:line="240" w:lineRule="auto"/>
        <w:jc w:val="both"/>
        <w:rPr>
          <w:rFonts w:cs="Arial"/>
          <w:sz w:val="24"/>
          <w:szCs w:val="24"/>
        </w:rPr>
      </w:pPr>
    </w:p>
    <w:p w14:paraId="52ED3A88" w14:textId="47FE84EF" w:rsidR="00BB229D" w:rsidRPr="005075C4" w:rsidRDefault="00BB229D" w:rsidP="00556A31">
      <w:pPr>
        <w:spacing w:after="0" w:line="240" w:lineRule="auto"/>
        <w:jc w:val="both"/>
        <w:rPr>
          <w:rFonts w:cs="Arial"/>
          <w:sz w:val="24"/>
          <w:szCs w:val="24"/>
        </w:rPr>
      </w:pPr>
      <w:r w:rsidRPr="00556A31">
        <w:rPr>
          <w:rFonts w:cs="Arial"/>
          <w:sz w:val="24"/>
          <w:szCs w:val="24"/>
        </w:rPr>
        <w:t xml:space="preserve">One of the particularly important elements is the </w:t>
      </w:r>
      <w:r w:rsidRPr="00556A31">
        <w:rPr>
          <w:rFonts w:cs="Arial"/>
          <w:b/>
          <w:bCs/>
          <w:sz w:val="24"/>
          <w:szCs w:val="24"/>
        </w:rPr>
        <w:t>greater presence of the concept of natural capital in the SNA</w:t>
      </w:r>
      <w:r w:rsidR="005075C4">
        <w:rPr>
          <w:rFonts w:cs="Arial"/>
          <w:b/>
          <w:bCs/>
          <w:sz w:val="24"/>
          <w:szCs w:val="24"/>
        </w:rPr>
        <w:t xml:space="preserve"> 2025</w:t>
      </w:r>
      <w:r w:rsidRPr="00556A31">
        <w:rPr>
          <w:rFonts w:cs="Arial"/>
          <w:sz w:val="24"/>
          <w:szCs w:val="24"/>
        </w:rPr>
        <w:t xml:space="preserve"> and the reorganization of the asset classification. The working materials on the update of the SEEA point to </w:t>
      </w:r>
      <w:r w:rsidRPr="00556A31">
        <w:rPr>
          <w:rFonts w:cs="Arial"/>
          <w:b/>
          <w:bCs/>
          <w:sz w:val="24"/>
          <w:szCs w:val="24"/>
        </w:rPr>
        <w:t>the need to harmonize the classification of assets of the SEEA with that of the SNA</w:t>
      </w:r>
      <w:r w:rsidR="005075C4">
        <w:rPr>
          <w:rFonts w:cs="Arial"/>
          <w:b/>
          <w:bCs/>
          <w:sz w:val="24"/>
          <w:szCs w:val="24"/>
        </w:rPr>
        <w:t xml:space="preserve"> 2025</w:t>
      </w:r>
      <w:r w:rsidRPr="00556A31">
        <w:rPr>
          <w:rFonts w:cs="Arial"/>
          <w:sz w:val="24"/>
          <w:szCs w:val="24"/>
        </w:rPr>
        <w:t xml:space="preserve">, considering natural resources and ecosystem assets. </w:t>
      </w:r>
      <w:r w:rsidRPr="00556A31">
        <w:rPr>
          <w:rFonts w:cs="Arial"/>
          <w:b/>
          <w:bCs/>
          <w:sz w:val="24"/>
          <w:szCs w:val="24"/>
        </w:rPr>
        <w:t>This harmonization is essential to prevent the same phenomenon from being classified in an incompatible manner in economic and environmental statistics</w:t>
      </w:r>
      <w:r w:rsidRPr="00556A31">
        <w:rPr>
          <w:rFonts w:cs="Arial"/>
          <w:sz w:val="24"/>
          <w:szCs w:val="24"/>
        </w:rPr>
        <w:t>.</w:t>
      </w:r>
    </w:p>
    <w:p w14:paraId="3BA81A69" w14:textId="77777777" w:rsidR="00556A31" w:rsidRPr="005075C4" w:rsidRDefault="00556A31" w:rsidP="00556A31">
      <w:pPr>
        <w:spacing w:after="0" w:line="240" w:lineRule="auto"/>
        <w:jc w:val="both"/>
        <w:rPr>
          <w:rFonts w:cs="Arial"/>
          <w:sz w:val="24"/>
          <w:szCs w:val="24"/>
        </w:rPr>
      </w:pPr>
    </w:p>
    <w:p w14:paraId="71EB5B2E" w14:textId="7A025C51" w:rsidR="00BB229D" w:rsidRPr="005075C4" w:rsidRDefault="00BB229D" w:rsidP="00556A31">
      <w:pPr>
        <w:spacing w:after="0" w:line="240" w:lineRule="auto"/>
        <w:jc w:val="both"/>
        <w:rPr>
          <w:rFonts w:cs="Arial"/>
          <w:sz w:val="24"/>
          <w:szCs w:val="24"/>
        </w:rPr>
      </w:pPr>
      <w:r w:rsidRPr="00556A31">
        <w:rPr>
          <w:rFonts w:cs="Arial"/>
          <w:sz w:val="24"/>
          <w:szCs w:val="24"/>
        </w:rPr>
        <w:t>The consequence for Mexico is strategic. The country currently maintains an infrastructure of environmental accounts built on the SNA</w:t>
      </w:r>
      <w:r w:rsidR="005075C4">
        <w:rPr>
          <w:rFonts w:cs="Arial"/>
          <w:sz w:val="24"/>
          <w:szCs w:val="24"/>
        </w:rPr>
        <w:t xml:space="preserve"> 2008</w:t>
      </w:r>
      <w:r w:rsidRPr="00556A31">
        <w:rPr>
          <w:rFonts w:cs="Arial"/>
          <w:sz w:val="24"/>
          <w:szCs w:val="24"/>
        </w:rPr>
        <w:t xml:space="preserve"> and the SEEA</w:t>
      </w:r>
      <w:r w:rsidR="005075C4">
        <w:rPr>
          <w:rFonts w:cs="Arial"/>
          <w:sz w:val="24"/>
          <w:szCs w:val="24"/>
        </w:rPr>
        <w:t xml:space="preserve"> CF</w:t>
      </w:r>
      <w:r w:rsidRPr="00556A31">
        <w:rPr>
          <w:rFonts w:cs="Arial"/>
          <w:sz w:val="24"/>
          <w:szCs w:val="24"/>
        </w:rPr>
        <w:t xml:space="preserve">. The future transition to the SNA </w:t>
      </w:r>
      <w:r w:rsidR="005075C4">
        <w:rPr>
          <w:rFonts w:cs="Arial"/>
          <w:sz w:val="24"/>
          <w:szCs w:val="24"/>
        </w:rPr>
        <w:t xml:space="preserve">2025 </w:t>
      </w:r>
      <w:r w:rsidRPr="00556A31">
        <w:rPr>
          <w:rFonts w:cs="Arial"/>
          <w:sz w:val="24"/>
          <w:szCs w:val="24"/>
        </w:rPr>
        <w:t xml:space="preserve">and future updates of the SEEA should build on accumulated experience, but also review classifications, valuations, historical series, and linkages between accounts. The priority should not be to produce more isolated indicators, </w:t>
      </w:r>
      <w:r w:rsidR="005075C4" w:rsidRPr="00556A31">
        <w:rPr>
          <w:rFonts w:cs="Arial"/>
          <w:sz w:val="24"/>
          <w:szCs w:val="24"/>
        </w:rPr>
        <w:t>but to</w:t>
      </w:r>
      <w:r w:rsidRPr="00556A31">
        <w:rPr>
          <w:rFonts w:cs="Arial"/>
          <w:sz w:val="24"/>
          <w:szCs w:val="24"/>
        </w:rPr>
        <w:t xml:space="preserve"> </w:t>
      </w:r>
      <w:r w:rsidRPr="00556A31">
        <w:rPr>
          <w:rFonts w:cs="Arial"/>
          <w:b/>
          <w:bCs/>
          <w:sz w:val="24"/>
          <w:szCs w:val="24"/>
        </w:rPr>
        <w:t>ensure that new accounts can be integrated with existing ones</w:t>
      </w:r>
      <w:r w:rsidRPr="00556A31">
        <w:rPr>
          <w:rFonts w:cs="Arial"/>
          <w:sz w:val="24"/>
          <w:szCs w:val="24"/>
        </w:rPr>
        <w:t>.</w:t>
      </w:r>
    </w:p>
    <w:p w14:paraId="0C54068B" w14:textId="77777777" w:rsidR="00556A31" w:rsidRPr="005075C4" w:rsidRDefault="00556A31" w:rsidP="00556A31">
      <w:pPr>
        <w:spacing w:after="0" w:line="240" w:lineRule="auto"/>
        <w:jc w:val="both"/>
        <w:rPr>
          <w:rFonts w:cs="Arial"/>
          <w:sz w:val="24"/>
          <w:szCs w:val="24"/>
        </w:rPr>
      </w:pPr>
    </w:p>
    <w:p w14:paraId="6D15E380" w14:textId="01924270" w:rsidR="00BB229D" w:rsidRPr="005075C4" w:rsidRDefault="00A72CB5" w:rsidP="00556A31">
      <w:pPr>
        <w:spacing w:after="0" w:line="240" w:lineRule="auto"/>
        <w:jc w:val="both"/>
        <w:rPr>
          <w:rFonts w:cs="Arial"/>
          <w:b/>
          <w:bCs/>
          <w:sz w:val="24"/>
          <w:szCs w:val="24"/>
        </w:rPr>
      </w:pPr>
      <w:r w:rsidRPr="00556A31">
        <w:rPr>
          <w:rFonts w:cs="Arial"/>
          <w:b/>
          <w:bCs/>
          <w:sz w:val="24"/>
          <w:szCs w:val="24"/>
        </w:rPr>
        <w:t>THE EXPERIENCE OF MEXICO: PILOT IN ENVIRONMENTAL ACCOUNTING AND ECOSYSTEM ACCOUNTS</w:t>
      </w:r>
    </w:p>
    <w:p w14:paraId="1B5DEF8B" w14:textId="77777777" w:rsidR="00A72CB5" w:rsidRPr="005075C4" w:rsidRDefault="00A72CB5" w:rsidP="00556A31">
      <w:pPr>
        <w:spacing w:after="0" w:line="240" w:lineRule="auto"/>
        <w:jc w:val="both"/>
        <w:rPr>
          <w:rFonts w:cs="Arial"/>
          <w:b/>
          <w:bCs/>
          <w:sz w:val="24"/>
          <w:szCs w:val="24"/>
        </w:rPr>
      </w:pPr>
    </w:p>
    <w:p w14:paraId="7BC5A600" w14:textId="22D776C1" w:rsidR="00BB229D" w:rsidRPr="005075C4" w:rsidRDefault="00BB229D" w:rsidP="00556A31">
      <w:pPr>
        <w:spacing w:after="0" w:line="240" w:lineRule="auto"/>
        <w:jc w:val="both"/>
        <w:rPr>
          <w:rFonts w:cs="Arial"/>
          <w:sz w:val="24"/>
          <w:szCs w:val="24"/>
        </w:rPr>
      </w:pPr>
      <w:r w:rsidRPr="00556A31">
        <w:rPr>
          <w:rFonts w:cs="Arial"/>
          <w:sz w:val="24"/>
          <w:szCs w:val="24"/>
        </w:rPr>
        <w:t xml:space="preserve">Mexico has a unique trajectory within the international development of the SEEA, since in December 1991 the World Bank published the Integrated Environmental and Economic Accounting: A Case of Study for Mexico, the result of cooperation with the United Nations and INEGI itself. This work was one of the antecedents that contributed to the development of </w:t>
      </w:r>
      <w:r w:rsidR="005075C4" w:rsidRPr="00556A31">
        <w:rPr>
          <w:rFonts w:cs="Arial"/>
          <w:sz w:val="24"/>
          <w:szCs w:val="24"/>
        </w:rPr>
        <w:t>SEEA</w:t>
      </w:r>
      <w:r w:rsidRPr="00556A31">
        <w:rPr>
          <w:rFonts w:cs="Arial"/>
          <w:sz w:val="24"/>
          <w:szCs w:val="24"/>
        </w:rPr>
        <w:t xml:space="preserve"> 1993.</w:t>
      </w:r>
    </w:p>
    <w:p w14:paraId="2035AA1D" w14:textId="77777777" w:rsidR="00556A31" w:rsidRPr="005075C4" w:rsidRDefault="00556A31" w:rsidP="00556A31">
      <w:pPr>
        <w:spacing w:after="0" w:line="240" w:lineRule="auto"/>
        <w:jc w:val="both"/>
        <w:rPr>
          <w:rFonts w:cs="Arial"/>
          <w:sz w:val="24"/>
          <w:szCs w:val="24"/>
        </w:rPr>
      </w:pPr>
    </w:p>
    <w:p w14:paraId="687E3B9E" w14:textId="44E57866" w:rsidR="00BB229D" w:rsidRPr="005075C4" w:rsidRDefault="00BB229D" w:rsidP="00556A31">
      <w:pPr>
        <w:spacing w:after="0" w:line="240" w:lineRule="auto"/>
        <w:jc w:val="both"/>
        <w:rPr>
          <w:rFonts w:cs="Arial"/>
          <w:sz w:val="24"/>
          <w:szCs w:val="24"/>
        </w:rPr>
      </w:pPr>
      <w:r w:rsidRPr="00556A31">
        <w:rPr>
          <w:rFonts w:cs="Arial"/>
          <w:sz w:val="24"/>
          <w:szCs w:val="24"/>
        </w:rPr>
        <w:t xml:space="preserve">Since the publication of the first series, Mexico has maintained a recurring production of environmental accounts. Among its results are the </w:t>
      </w:r>
      <w:r w:rsidRPr="00556A31">
        <w:rPr>
          <w:rFonts w:cs="Arial"/>
          <w:b/>
          <w:bCs/>
          <w:sz w:val="24"/>
          <w:szCs w:val="24"/>
        </w:rPr>
        <w:t>Environmentally Adjusted Net Domestic Product (</w:t>
      </w:r>
      <w:r w:rsidR="005075C4">
        <w:rPr>
          <w:rFonts w:cs="Arial"/>
          <w:b/>
          <w:bCs/>
          <w:sz w:val="24"/>
          <w:szCs w:val="24"/>
        </w:rPr>
        <w:t>PINE by acronym in Spanish</w:t>
      </w:r>
      <w:r w:rsidRPr="00556A31">
        <w:rPr>
          <w:rFonts w:cs="Arial"/>
          <w:b/>
          <w:bCs/>
          <w:sz w:val="24"/>
          <w:szCs w:val="24"/>
        </w:rPr>
        <w:t xml:space="preserve">), costs of environmental </w:t>
      </w:r>
      <w:r w:rsidRPr="00556A31">
        <w:rPr>
          <w:rFonts w:cs="Arial"/>
          <w:b/>
          <w:bCs/>
          <w:sz w:val="24"/>
          <w:szCs w:val="24"/>
        </w:rPr>
        <w:lastRenderedPageBreak/>
        <w:t xml:space="preserve">depletion and degradation, environmental protection </w:t>
      </w:r>
      <w:r w:rsidR="005075C4">
        <w:rPr>
          <w:rFonts w:cs="Arial"/>
          <w:b/>
          <w:bCs/>
          <w:sz w:val="24"/>
          <w:szCs w:val="24"/>
        </w:rPr>
        <w:t xml:space="preserve">expenditures </w:t>
      </w:r>
      <w:r w:rsidRPr="00556A31">
        <w:rPr>
          <w:rFonts w:cs="Arial"/>
          <w:b/>
          <w:bCs/>
          <w:sz w:val="24"/>
          <w:szCs w:val="24"/>
        </w:rPr>
        <w:t>and asset balance sheets</w:t>
      </w:r>
      <w:r w:rsidRPr="00556A31">
        <w:rPr>
          <w:rFonts w:cs="Arial"/>
          <w:sz w:val="24"/>
          <w:szCs w:val="24"/>
        </w:rPr>
        <w:t>.</w:t>
      </w:r>
    </w:p>
    <w:p w14:paraId="6A8CF7DB" w14:textId="77777777" w:rsidR="00556A31" w:rsidRPr="005075C4" w:rsidRDefault="00556A31" w:rsidP="00556A31">
      <w:pPr>
        <w:spacing w:after="0" w:line="240" w:lineRule="auto"/>
        <w:jc w:val="both"/>
        <w:rPr>
          <w:rFonts w:cs="Arial"/>
          <w:sz w:val="24"/>
          <w:szCs w:val="24"/>
        </w:rPr>
      </w:pPr>
    </w:p>
    <w:p w14:paraId="4DC212B6" w14:textId="7BD71B9D" w:rsidR="00BB229D" w:rsidRPr="005075C4" w:rsidRDefault="00BB229D" w:rsidP="00556A31">
      <w:pPr>
        <w:spacing w:after="0" w:line="240" w:lineRule="auto"/>
        <w:jc w:val="both"/>
        <w:rPr>
          <w:rFonts w:cs="Arial"/>
          <w:sz w:val="24"/>
          <w:szCs w:val="24"/>
        </w:rPr>
      </w:pPr>
      <w:r w:rsidRPr="00556A31">
        <w:rPr>
          <w:rFonts w:cs="Arial"/>
          <w:sz w:val="24"/>
          <w:szCs w:val="24"/>
        </w:rPr>
        <w:t xml:space="preserve">This experience demonstrates an important institutional advantage: In the world, several countries are not starting from scratch. There </w:t>
      </w:r>
      <w:proofErr w:type="gramStart"/>
      <w:r w:rsidRPr="00556A31">
        <w:rPr>
          <w:rFonts w:cs="Arial"/>
          <w:sz w:val="24"/>
          <w:szCs w:val="24"/>
        </w:rPr>
        <w:t>is</w:t>
      </w:r>
      <w:proofErr w:type="gramEnd"/>
      <w:r w:rsidRPr="00556A31">
        <w:rPr>
          <w:rFonts w:cs="Arial"/>
          <w:sz w:val="24"/>
          <w:szCs w:val="24"/>
        </w:rPr>
        <w:t xml:space="preserve"> a series of long-term technical capacities and an infrastructure of satellite accounts that allow connecting environmental variables with macroeconomic aggregates. The current opportunity is to expand this architecture towards the SEEA-EA and prepare its compatibility with the SNA</w:t>
      </w:r>
      <w:r w:rsidR="005075C4">
        <w:rPr>
          <w:rFonts w:cs="Arial"/>
          <w:sz w:val="24"/>
          <w:szCs w:val="24"/>
        </w:rPr>
        <w:t xml:space="preserve"> 2025</w:t>
      </w:r>
      <w:r w:rsidRPr="00556A31">
        <w:rPr>
          <w:rFonts w:cs="Arial"/>
          <w:sz w:val="24"/>
          <w:szCs w:val="24"/>
        </w:rPr>
        <w:t xml:space="preserve"> and with the future update of the SEEA Central Framework.</w:t>
      </w:r>
    </w:p>
    <w:p w14:paraId="5885E310" w14:textId="77777777" w:rsidR="00EC369F" w:rsidRPr="005075C4" w:rsidRDefault="00EC369F" w:rsidP="00556A31">
      <w:pPr>
        <w:spacing w:after="0" w:line="240" w:lineRule="auto"/>
        <w:jc w:val="both"/>
        <w:rPr>
          <w:rFonts w:cs="Arial"/>
          <w:sz w:val="24"/>
          <w:szCs w:val="24"/>
        </w:rPr>
      </w:pPr>
    </w:p>
    <w:p w14:paraId="2954A2B1" w14:textId="3B0071B7" w:rsidR="00BB229D" w:rsidRPr="005075C4" w:rsidRDefault="00DD797B" w:rsidP="00556A31">
      <w:pPr>
        <w:spacing w:after="0" w:line="240" w:lineRule="auto"/>
        <w:jc w:val="both"/>
        <w:rPr>
          <w:rFonts w:cs="Arial"/>
          <w:b/>
          <w:bCs/>
          <w:sz w:val="24"/>
          <w:szCs w:val="24"/>
        </w:rPr>
      </w:pPr>
      <w:r w:rsidRPr="00DD797B">
        <w:rPr>
          <w:rFonts w:cs="Arial"/>
          <w:b/>
          <w:bCs/>
          <w:sz w:val="24"/>
          <w:szCs w:val="24"/>
        </w:rPr>
        <w:t>SYSTEM OF ENVIRONMENTAL-ECONOMIC ACCOUNTING OF MÉXICO</w:t>
      </w:r>
      <w:r>
        <w:rPr>
          <w:rFonts w:cs="Arial"/>
          <w:b/>
          <w:bCs/>
          <w:sz w:val="24"/>
          <w:szCs w:val="24"/>
        </w:rPr>
        <w:t xml:space="preserve"> (SEEA Mx)</w:t>
      </w:r>
      <w:r w:rsidRPr="00DD797B">
        <w:rPr>
          <w:rFonts w:cs="Arial"/>
          <w:b/>
          <w:bCs/>
          <w:sz w:val="24"/>
          <w:szCs w:val="24"/>
        </w:rPr>
        <w:t xml:space="preserve"> </w:t>
      </w:r>
      <w:r w:rsidR="00A72CB5" w:rsidRPr="00556A31">
        <w:rPr>
          <w:rFonts w:cs="Arial"/>
          <w:b/>
          <w:bCs/>
          <w:sz w:val="24"/>
          <w:szCs w:val="24"/>
        </w:rPr>
        <w:t>AS A COMPONENT OF BEYOND GDP</w:t>
      </w:r>
    </w:p>
    <w:p w14:paraId="6D15AFED" w14:textId="77777777" w:rsidR="00EC369F" w:rsidRPr="005075C4" w:rsidRDefault="00EC369F" w:rsidP="00556A31">
      <w:pPr>
        <w:spacing w:after="0" w:line="240" w:lineRule="auto"/>
        <w:jc w:val="both"/>
        <w:rPr>
          <w:rFonts w:cs="Arial"/>
          <w:b/>
          <w:bCs/>
          <w:sz w:val="24"/>
          <w:szCs w:val="24"/>
        </w:rPr>
      </w:pPr>
    </w:p>
    <w:p w14:paraId="2EF21A39" w14:textId="6E4F3E5F" w:rsidR="00BB229D" w:rsidRPr="005075C4" w:rsidRDefault="00BB229D" w:rsidP="00556A31">
      <w:pPr>
        <w:spacing w:after="0" w:line="240" w:lineRule="auto"/>
        <w:jc w:val="both"/>
        <w:rPr>
          <w:rFonts w:cs="Arial"/>
          <w:sz w:val="24"/>
          <w:szCs w:val="24"/>
        </w:rPr>
      </w:pPr>
      <w:r w:rsidRPr="00556A31">
        <w:rPr>
          <w:rFonts w:cs="Arial"/>
          <w:sz w:val="24"/>
          <w:szCs w:val="24"/>
        </w:rPr>
        <w:t xml:space="preserve">The </w:t>
      </w:r>
      <w:r w:rsidR="005075C4">
        <w:rPr>
          <w:rFonts w:cs="Arial"/>
          <w:sz w:val="24"/>
          <w:szCs w:val="24"/>
        </w:rPr>
        <w:t>SEEA Mx</w:t>
      </w:r>
      <w:r w:rsidRPr="00556A31">
        <w:rPr>
          <w:rFonts w:cs="Arial"/>
          <w:sz w:val="24"/>
          <w:szCs w:val="24"/>
        </w:rPr>
        <w:t xml:space="preserve"> </w:t>
      </w:r>
      <w:r w:rsidR="00725EC5" w:rsidRPr="00556A31">
        <w:rPr>
          <w:rFonts w:cs="Arial"/>
          <w:sz w:val="24"/>
          <w:szCs w:val="24"/>
        </w:rPr>
        <w:t>offers</w:t>
      </w:r>
      <w:r w:rsidRPr="00556A31">
        <w:rPr>
          <w:rFonts w:cs="Arial"/>
          <w:sz w:val="24"/>
          <w:szCs w:val="24"/>
        </w:rPr>
        <w:t xml:space="preserve"> an example of how the Beyond GDP statistic can be constructed without abandoning the logic of national accounts. </w:t>
      </w:r>
      <w:r w:rsidRPr="00556A31">
        <w:rPr>
          <w:rFonts w:cs="Arial"/>
          <w:b/>
          <w:bCs/>
          <w:sz w:val="24"/>
          <w:szCs w:val="24"/>
        </w:rPr>
        <w:t xml:space="preserve">The PINE adjusts the income generated by the economy </w:t>
      </w:r>
      <w:r w:rsidR="00A62013" w:rsidRPr="00556A31">
        <w:rPr>
          <w:rFonts w:cs="Arial"/>
          <w:sz w:val="24"/>
          <w:szCs w:val="24"/>
        </w:rPr>
        <w:t xml:space="preserve">through the costs associated with the depletion of natural resources and environmental degradation. </w:t>
      </w:r>
      <w:r w:rsidRPr="00556A31">
        <w:rPr>
          <w:rFonts w:cs="Arial"/>
          <w:b/>
          <w:bCs/>
          <w:sz w:val="24"/>
          <w:szCs w:val="24"/>
        </w:rPr>
        <w:t>This indicator does not replace GDP; it offers a complementary perspective on the relationship between economic activity and environmental pressure</w:t>
      </w:r>
      <w:r w:rsidRPr="00556A31">
        <w:rPr>
          <w:rFonts w:cs="Arial"/>
          <w:sz w:val="24"/>
          <w:szCs w:val="24"/>
        </w:rPr>
        <w:t>.</w:t>
      </w:r>
    </w:p>
    <w:p w14:paraId="6905513B" w14:textId="77777777" w:rsidR="00EC369F" w:rsidRPr="005075C4" w:rsidRDefault="00EC369F" w:rsidP="00556A31">
      <w:pPr>
        <w:spacing w:after="0" w:line="240" w:lineRule="auto"/>
        <w:jc w:val="both"/>
        <w:rPr>
          <w:rFonts w:cs="Arial"/>
          <w:sz w:val="24"/>
          <w:szCs w:val="24"/>
        </w:rPr>
      </w:pPr>
    </w:p>
    <w:tbl>
      <w:tblPr>
        <w:tblStyle w:val="Tablaconcuadrcula"/>
        <w:tblW w:w="0" w:type="auto"/>
        <w:jc w:val="center"/>
        <w:tblLook w:val="04A0" w:firstRow="1" w:lastRow="0" w:firstColumn="1" w:lastColumn="0" w:noHBand="0" w:noVBand="1"/>
      </w:tblPr>
      <w:tblGrid>
        <w:gridCol w:w="2881"/>
        <w:gridCol w:w="2834"/>
        <w:gridCol w:w="3113"/>
      </w:tblGrid>
      <w:tr w:rsidR="00BB229D" w:rsidRPr="00556A31" w14:paraId="24E433F7" w14:textId="77777777" w:rsidTr="00A72CB5">
        <w:trPr>
          <w:jc w:val="center"/>
        </w:trPr>
        <w:tc>
          <w:tcPr>
            <w:tcW w:w="2881" w:type="dxa"/>
            <w:shd w:val="clear" w:color="auto" w:fill="008080"/>
            <w:vAlign w:val="center"/>
          </w:tcPr>
          <w:p w14:paraId="1D0307ED" w14:textId="57915B9B" w:rsidR="00BB229D" w:rsidRPr="00A72CB5" w:rsidRDefault="005075C4" w:rsidP="00A72CB5">
            <w:pPr>
              <w:spacing w:after="0" w:line="240" w:lineRule="auto"/>
              <w:jc w:val="center"/>
              <w:rPr>
                <w:rFonts w:cs="Arial"/>
                <w:b/>
                <w:bCs/>
                <w:color w:val="FFFFFF" w:themeColor="background1"/>
                <w:sz w:val="24"/>
                <w:szCs w:val="24"/>
              </w:rPr>
            </w:pPr>
            <w:r>
              <w:rPr>
                <w:rFonts w:cs="Arial"/>
                <w:b/>
                <w:bCs/>
                <w:color w:val="FFFFFF" w:themeColor="background1"/>
                <w:sz w:val="24"/>
                <w:szCs w:val="24"/>
              </w:rPr>
              <w:t>SEEA Mx</w:t>
            </w:r>
            <w:r w:rsidR="00BB229D" w:rsidRPr="00A72CB5">
              <w:rPr>
                <w:rFonts w:cs="Arial"/>
                <w:b/>
                <w:bCs/>
                <w:color w:val="FFFFFF" w:themeColor="background1"/>
                <w:sz w:val="24"/>
                <w:szCs w:val="24"/>
              </w:rPr>
              <w:t xml:space="preserve"> Indicator</w:t>
            </w:r>
            <w:r>
              <w:rPr>
                <w:rFonts w:cs="Arial"/>
                <w:b/>
                <w:bCs/>
                <w:color w:val="FFFFFF" w:themeColor="background1"/>
                <w:sz w:val="24"/>
                <w:szCs w:val="24"/>
              </w:rPr>
              <w:t xml:space="preserve"> 2024</w:t>
            </w:r>
          </w:p>
        </w:tc>
        <w:tc>
          <w:tcPr>
            <w:tcW w:w="2834" w:type="dxa"/>
            <w:shd w:val="clear" w:color="auto" w:fill="008080"/>
            <w:vAlign w:val="center"/>
          </w:tcPr>
          <w:p w14:paraId="1853DEE6"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Result</w:t>
            </w:r>
          </w:p>
        </w:tc>
        <w:tc>
          <w:tcPr>
            <w:tcW w:w="3113" w:type="dxa"/>
            <w:shd w:val="clear" w:color="auto" w:fill="008080"/>
            <w:vAlign w:val="center"/>
          </w:tcPr>
          <w:p w14:paraId="649AE230"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Reading for Beyond GDP</w:t>
            </w:r>
          </w:p>
        </w:tc>
      </w:tr>
      <w:tr w:rsidR="00BB229D" w:rsidRPr="00A72CB5" w14:paraId="111B32FD" w14:textId="77777777" w:rsidTr="00A72CB5">
        <w:trPr>
          <w:jc w:val="center"/>
        </w:trPr>
        <w:tc>
          <w:tcPr>
            <w:tcW w:w="2881" w:type="dxa"/>
            <w:shd w:val="clear" w:color="auto" w:fill="C5F1F0"/>
            <w:vAlign w:val="center"/>
          </w:tcPr>
          <w:p w14:paraId="61AA4D1D" w14:textId="77777777" w:rsidR="00BB229D" w:rsidRPr="00556A31" w:rsidRDefault="00BB229D" w:rsidP="00556A31">
            <w:pPr>
              <w:spacing w:after="0" w:line="240" w:lineRule="auto"/>
              <w:jc w:val="both"/>
              <w:rPr>
                <w:rFonts w:cs="Arial"/>
                <w:sz w:val="24"/>
                <w:szCs w:val="24"/>
                <w:lang w:val="es-MX"/>
              </w:rPr>
            </w:pPr>
            <w:r w:rsidRPr="00556A31">
              <w:rPr>
                <w:rFonts w:cs="Arial"/>
                <w:sz w:val="24"/>
                <w:szCs w:val="24"/>
              </w:rPr>
              <w:t>Depletion and degradation costs</w:t>
            </w:r>
          </w:p>
        </w:tc>
        <w:tc>
          <w:tcPr>
            <w:tcW w:w="2834" w:type="dxa"/>
            <w:shd w:val="clear" w:color="auto" w:fill="C5F1F0"/>
            <w:vAlign w:val="center"/>
          </w:tcPr>
          <w:p w14:paraId="5D5D4F30" w14:textId="77777777" w:rsidR="00BB229D" w:rsidRPr="00556A31" w:rsidRDefault="00BB229D" w:rsidP="00556A31">
            <w:pPr>
              <w:spacing w:after="0" w:line="240" w:lineRule="auto"/>
              <w:jc w:val="both"/>
              <w:rPr>
                <w:rFonts w:cs="Arial"/>
                <w:sz w:val="24"/>
                <w:szCs w:val="24"/>
              </w:rPr>
            </w:pPr>
            <w:r w:rsidRPr="00556A31">
              <w:rPr>
                <w:rFonts w:cs="Arial"/>
                <w:sz w:val="24"/>
                <w:szCs w:val="24"/>
              </w:rPr>
              <w:t>$1,382.2 billion; 4.1% of GDP</w:t>
            </w:r>
          </w:p>
        </w:tc>
        <w:tc>
          <w:tcPr>
            <w:tcW w:w="3113" w:type="dxa"/>
            <w:shd w:val="clear" w:color="auto" w:fill="C5F1F0"/>
            <w:vAlign w:val="center"/>
          </w:tcPr>
          <w:p w14:paraId="5FB3D5BA" w14:textId="77777777" w:rsidR="00BB229D" w:rsidRPr="005075C4" w:rsidRDefault="00BB229D" w:rsidP="00556A31">
            <w:pPr>
              <w:spacing w:after="0" w:line="240" w:lineRule="auto"/>
              <w:jc w:val="both"/>
              <w:rPr>
                <w:rFonts w:cs="Arial"/>
                <w:sz w:val="24"/>
                <w:szCs w:val="24"/>
              </w:rPr>
            </w:pPr>
            <w:r w:rsidRPr="00556A31">
              <w:rPr>
                <w:rFonts w:cs="Arial"/>
                <w:sz w:val="24"/>
                <w:szCs w:val="24"/>
              </w:rPr>
              <w:t>Environmental pressure associated with economic activity</w:t>
            </w:r>
          </w:p>
        </w:tc>
      </w:tr>
      <w:tr w:rsidR="00BB229D" w:rsidRPr="00A72CB5" w14:paraId="56C90E73" w14:textId="77777777" w:rsidTr="009C0893">
        <w:trPr>
          <w:jc w:val="center"/>
        </w:trPr>
        <w:tc>
          <w:tcPr>
            <w:tcW w:w="2881" w:type="dxa"/>
            <w:vAlign w:val="center"/>
          </w:tcPr>
          <w:p w14:paraId="5B7FD565" w14:textId="77777777" w:rsidR="00BB229D" w:rsidRPr="00556A31" w:rsidRDefault="00BB229D" w:rsidP="00556A31">
            <w:pPr>
              <w:spacing w:after="0" w:line="240" w:lineRule="auto"/>
              <w:jc w:val="both"/>
              <w:rPr>
                <w:rFonts w:cs="Arial"/>
                <w:sz w:val="24"/>
                <w:szCs w:val="24"/>
              </w:rPr>
            </w:pPr>
            <w:r w:rsidRPr="00556A31">
              <w:rPr>
                <w:rFonts w:cs="Arial"/>
                <w:sz w:val="24"/>
                <w:szCs w:val="24"/>
              </w:rPr>
              <w:t>Degradation costs</w:t>
            </w:r>
          </w:p>
        </w:tc>
        <w:tc>
          <w:tcPr>
            <w:tcW w:w="2834" w:type="dxa"/>
            <w:vAlign w:val="center"/>
          </w:tcPr>
          <w:p w14:paraId="522A7A74" w14:textId="77777777" w:rsidR="00BB229D" w:rsidRPr="00556A31" w:rsidRDefault="00BB229D" w:rsidP="00556A31">
            <w:pPr>
              <w:spacing w:after="0" w:line="240" w:lineRule="auto"/>
              <w:jc w:val="both"/>
              <w:rPr>
                <w:rFonts w:cs="Arial"/>
                <w:sz w:val="24"/>
                <w:szCs w:val="24"/>
              </w:rPr>
            </w:pPr>
            <w:r w:rsidRPr="00556A31">
              <w:rPr>
                <w:rFonts w:cs="Arial"/>
                <w:sz w:val="24"/>
                <w:szCs w:val="24"/>
              </w:rPr>
              <w:t>$1,238.2 billion; 3.7% of GDP</w:t>
            </w:r>
          </w:p>
        </w:tc>
        <w:tc>
          <w:tcPr>
            <w:tcW w:w="3113" w:type="dxa"/>
            <w:vAlign w:val="center"/>
          </w:tcPr>
          <w:p w14:paraId="42A88A29" w14:textId="77777777" w:rsidR="00BB229D" w:rsidRPr="005075C4" w:rsidRDefault="00BB229D" w:rsidP="00556A31">
            <w:pPr>
              <w:spacing w:after="0" w:line="240" w:lineRule="auto"/>
              <w:jc w:val="both"/>
              <w:rPr>
                <w:rFonts w:cs="Arial"/>
                <w:sz w:val="24"/>
                <w:szCs w:val="24"/>
              </w:rPr>
            </w:pPr>
            <w:r w:rsidRPr="00556A31">
              <w:rPr>
                <w:rFonts w:cs="Arial"/>
                <w:sz w:val="24"/>
                <w:szCs w:val="24"/>
              </w:rPr>
              <w:t xml:space="preserve">Predominance of environmental deterioration over </w:t>
            </w:r>
            <w:r w:rsidRPr="005075C4">
              <w:rPr>
                <w:rFonts w:cs="Arial"/>
                <w:sz w:val="24"/>
                <w:szCs w:val="24"/>
              </w:rPr>
              <w:t>depletion</w:t>
            </w:r>
          </w:p>
        </w:tc>
      </w:tr>
      <w:tr w:rsidR="00BB229D" w:rsidRPr="00A72CB5" w14:paraId="2AE94618" w14:textId="77777777" w:rsidTr="00A72CB5">
        <w:trPr>
          <w:jc w:val="center"/>
        </w:trPr>
        <w:tc>
          <w:tcPr>
            <w:tcW w:w="2881" w:type="dxa"/>
            <w:shd w:val="clear" w:color="auto" w:fill="C5F1F0"/>
            <w:vAlign w:val="center"/>
          </w:tcPr>
          <w:p w14:paraId="7A3C3D85" w14:textId="77777777" w:rsidR="00BB229D" w:rsidRPr="00556A31" w:rsidRDefault="00BB229D" w:rsidP="00556A31">
            <w:pPr>
              <w:spacing w:after="0" w:line="240" w:lineRule="auto"/>
              <w:jc w:val="both"/>
              <w:rPr>
                <w:rFonts w:cs="Arial"/>
                <w:sz w:val="24"/>
                <w:szCs w:val="24"/>
              </w:rPr>
            </w:pPr>
            <w:r w:rsidRPr="00556A31">
              <w:rPr>
                <w:rFonts w:cs="Arial"/>
                <w:sz w:val="24"/>
                <w:szCs w:val="24"/>
              </w:rPr>
              <w:t>Air emissions</w:t>
            </w:r>
          </w:p>
        </w:tc>
        <w:tc>
          <w:tcPr>
            <w:tcW w:w="2834" w:type="dxa"/>
            <w:shd w:val="clear" w:color="auto" w:fill="C5F1F0"/>
            <w:vAlign w:val="center"/>
          </w:tcPr>
          <w:p w14:paraId="340E3C61" w14:textId="77777777" w:rsidR="00A72CB5" w:rsidRDefault="00BB229D" w:rsidP="00556A31">
            <w:pPr>
              <w:spacing w:after="0" w:line="240" w:lineRule="auto"/>
              <w:jc w:val="both"/>
              <w:rPr>
                <w:rFonts w:cs="Arial"/>
                <w:sz w:val="24"/>
                <w:szCs w:val="24"/>
              </w:rPr>
            </w:pPr>
            <w:r w:rsidRPr="00556A31">
              <w:rPr>
                <w:rFonts w:cs="Arial"/>
                <w:sz w:val="24"/>
                <w:szCs w:val="24"/>
              </w:rPr>
              <w:t>$832.8 billion;</w:t>
            </w:r>
          </w:p>
          <w:p w14:paraId="74111F29" w14:textId="6BDA62D3" w:rsidR="00BB229D" w:rsidRPr="00556A31" w:rsidRDefault="00BB229D" w:rsidP="00556A31">
            <w:pPr>
              <w:spacing w:after="0" w:line="240" w:lineRule="auto"/>
              <w:jc w:val="both"/>
              <w:rPr>
                <w:rFonts w:cs="Arial"/>
                <w:sz w:val="24"/>
                <w:szCs w:val="24"/>
              </w:rPr>
            </w:pPr>
            <w:r w:rsidRPr="00556A31">
              <w:rPr>
                <w:rFonts w:cs="Arial"/>
                <w:sz w:val="24"/>
                <w:szCs w:val="24"/>
              </w:rPr>
              <w:t>2.5% of GDP</w:t>
            </w:r>
          </w:p>
        </w:tc>
        <w:tc>
          <w:tcPr>
            <w:tcW w:w="3113" w:type="dxa"/>
            <w:shd w:val="clear" w:color="auto" w:fill="C5F1F0"/>
            <w:vAlign w:val="center"/>
          </w:tcPr>
          <w:p w14:paraId="4FE54DDF" w14:textId="77777777" w:rsidR="00BB229D" w:rsidRPr="005075C4" w:rsidRDefault="00BB229D" w:rsidP="00556A31">
            <w:pPr>
              <w:spacing w:after="0" w:line="240" w:lineRule="auto"/>
              <w:jc w:val="both"/>
              <w:rPr>
                <w:rFonts w:cs="Arial"/>
                <w:sz w:val="24"/>
                <w:szCs w:val="24"/>
              </w:rPr>
            </w:pPr>
            <w:r w:rsidRPr="00556A31">
              <w:rPr>
                <w:rFonts w:cs="Arial"/>
                <w:sz w:val="24"/>
                <w:szCs w:val="24"/>
              </w:rPr>
              <w:t>Main component of the estimated cost</w:t>
            </w:r>
          </w:p>
        </w:tc>
      </w:tr>
      <w:tr w:rsidR="00BB229D" w:rsidRPr="00A72CB5" w14:paraId="71FF0E43" w14:textId="77777777" w:rsidTr="009C0893">
        <w:trPr>
          <w:jc w:val="center"/>
        </w:trPr>
        <w:tc>
          <w:tcPr>
            <w:tcW w:w="2881" w:type="dxa"/>
            <w:vAlign w:val="center"/>
          </w:tcPr>
          <w:p w14:paraId="5232D7A4" w14:textId="77777777" w:rsidR="00BB229D" w:rsidRPr="00556A31" w:rsidRDefault="00BB229D" w:rsidP="00556A31">
            <w:pPr>
              <w:spacing w:after="0" w:line="240" w:lineRule="auto"/>
              <w:jc w:val="both"/>
              <w:rPr>
                <w:rFonts w:cs="Arial"/>
                <w:sz w:val="24"/>
                <w:szCs w:val="24"/>
              </w:rPr>
            </w:pPr>
            <w:r w:rsidRPr="00556A31">
              <w:rPr>
                <w:rFonts w:cs="Arial"/>
                <w:sz w:val="24"/>
                <w:szCs w:val="24"/>
              </w:rPr>
              <w:t>Costs for depletion</w:t>
            </w:r>
          </w:p>
        </w:tc>
        <w:tc>
          <w:tcPr>
            <w:tcW w:w="2834" w:type="dxa"/>
            <w:vAlign w:val="center"/>
          </w:tcPr>
          <w:p w14:paraId="6F54AF9F" w14:textId="77777777" w:rsidR="00A72CB5" w:rsidRDefault="00BB229D" w:rsidP="00556A31">
            <w:pPr>
              <w:spacing w:after="0" w:line="240" w:lineRule="auto"/>
              <w:jc w:val="both"/>
              <w:rPr>
                <w:rFonts w:cs="Arial"/>
                <w:sz w:val="24"/>
                <w:szCs w:val="24"/>
              </w:rPr>
            </w:pPr>
            <w:r w:rsidRPr="00556A31">
              <w:rPr>
                <w:rFonts w:cs="Arial"/>
                <w:sz w:val="24"/>
                <w:szCs w:val="24"/>
              </w:rPr>
              <w:t>$144.0 billion;</w:t>
            </w:r>
          </w:p>
          <w:p w14:paraId="03878F04" w14:textId="55030146" w:rsidR="00BB229D" w:rsidRPr="00556A31" w:rsidRDefault="00BB229D" w:rsidP="00556A31">
            <w:pPr>
              <w:spacing w:after="0" w:line="240" w:lineRule="auto"/>
              <w:jc w:val="both"/>
              <w:rPr>
                <w:rFonts w:cs="Arial"/>
                <w:sz w:val="24"/>
                <w:szCs w:val="24"/>
              </w:rPr>
            </w:pPr>
            <w:r w:rsidRPr="00556A31">
              <w:rPr>
                <w:rFonts w:cs="Arial"/>
                <w:sz w:val="24"/>
                <w:szCs w:val="24"/>
              </w:rPr>
              <w:t>0.4% of GDP</w:t>
            </w:r>
          </w:p>
        </w:tc>
        <w:tc>
          <w:tcPr>
            <w:tcW w:w="3113" w:type="dxa"/>
            <w:vAlign w:val="center"/>
          </w:tcPr>
          <w:p w14:paraId="0286372B" w14:textId="77777777" w:rsidR="00BB229D" w:rsidRPr="005075C4" w:rsidRDefault="00BB229D" w:rsidP="00556A31">
            <w:pPr>
              <w:spacing w:after="0" w:line="240" w:lineRule="auto"/>
              <w:jc w:val="both"/>
              <w:rPr>
                <w:rFonts w:cs="Arial"/>
                <w:sz w:val="24"/>
                <w:szCs w:val="24"/>
              </w:rPr>
            </w:pPr>
            <w:r w:rsidRPr="00556A31">
              <w:rPr>
                <w:rFonts w:cs="Arial"/>
                <w:sz w:val="24"/>
                <w:szCs w:val="24"/>
              </w:rPr>
              <w:t>Loss of accounted for natural resources</w:t>
            </w:r>
          </w:p>
        </w:tc>
      </w:tr>
      <w:tr w:rsidR="00BB229D" w:rsidRPr="00A72CB5" w14:paraId="4256BE9D" w14:textId="77777777" w:rsidTr="00A72CB5">
        <w:trPr>
          <w:jc w:val="center"/>
        </w:trPr>
        <w:tc>
          <w:tcPr>
            <w:tcW w:w="2881" w:type="dxa"/>
            <w:shd w:val="clear" w:color="auto" w:fill="C5F1F0"/>
            <w:vAlign w:val="center"/>
          </w:tcPr>
          <w:p w14:paraId="60D30F89" w14:textId="77777777" w:rsidR="00BB229D" w:rsidRPr="005075C4" w:rsidRDefault="00BB229D" w:rsidP="00556A31">
            <w:pPr>
              <w:spacing w:after="0" w:line="240" w:lineRule="auto"/>
              <w:jc w:val="both"/>
              <w:rPr>
                <w:rFonts w:cs="Arial"/>
                <w:sz w:val="24"/>
                <w:szCs w:val="24"/>
              </w:rPr>
            </w:pPr>
            <w:r w:rsidRPr="00556A31">
              <w:rPr>
                <w:rFonts w:cs="Arial"/>
                <w:sz w:val="24"/>
                <w:szCs w:val="24"/>
              </w:rPr>
              <w:t>Public expenditure on environmental protection</w:t>
            </w:r>
          </w:p>
        </w:tc>
        <w:tc>
          <w:tcPr>
            <w:tcW w:w="2834" w:type="dxa"/>
            <w:shd w:val="clear" w:color="auto" w:fill="C5F1F0"/>
            <w:vAlign w:val="center"/>
          </w:tcPr>
          <w:p w14:paraId="5065E2B3" w14:textId="77777777" w:rsidR="00A72CB5" w:rsidRDefault="00BB229D" w:rsidP="00556A31">
            <w:pPr>
              <w:spacing w:after="0" w:line="240" w:lineRule="auto"/>
              <w:jc w:val="both"/>
              <w:rPr>
                <w:rFonts w:cs="Arial"/>
                <w:sz w:val="24"/>
                <w:szCs w:val="24"/>
              </w:rPr>
            </w:pPr>
            <w:r w:rsidRPr="00556A31">
              <w:rPr>
                <w:rFonts w:cs="Arial"/>
                <w:sz w:val="24"/>
                <w:szCs w:val="24"/>
              </w:rPr>
              <w:t>$232.9 billion;</w:t>
            </w:r>
          </w:p>
          <w:p w14:paraId="1C07DA9B" w14:textId="3A790948" w:rsidR="00BB229D" w:rsidRPr="00556A31" w:rsidRDefault="00BB229D" w:rsidP="00556A31">
            <w:pPr>
              <w:spacing w:after="0" w:line="240" w:lineRule="auto"/>
              <w:jc w:val="both"/>
              <w:rPr>
                <w:rFonts w:cs="Arial"/>
                <w:sz w:val="24"/>
                <w:szCs w:val="24"/>
              </w:rPr>
            </w:pPr>
            <w:r w:rsidRPr="00556A31">
              <w:rPr>
                <w:rFonts w:cs="Arial"/>
                <w:sz w:val="24"/>
                <w:szCs w:val="24"/>
              </w:rPr>
              <w:t>0.7% of GDP</w:t>
            </w:r>
          </w:p>
        </w:tc>
        <w:tc>
          <w:tcPr>
            <w:tcW w:w="3113" w:type="dxa"/>
            <w:shd w:val="clear" w:color="auto" w:fill="C5F1F0"/>
            <w:vAlign w:val="center"/>
          </w:tcPr>
          <w:p w14:paraId="745A2BFF" w14:textId="77777777" w:rsidR="00BB229D" w:rsidRPr="005075C4" w:rsidRDefault="00BB229D" w:rsidP="00556A31">
            <w:pPr>
              <w:spacing w:after="0" w:line="240" w:lineRule="auto"/>
              <w:jc w:val="both"/>
              <w:rPr>
                <w:rFonts w:cs="Arial"/>
                <w:sz w:val="24"/>
                <w:szCs w:val="24"/>
              </w:rPr>
            </w:pPr>
            <w:r w:rsidRPr="00556A31">
              <w:rPr>
                <w:rFonts w:cs="Arial"/>
                <w:sz w:val="24"/>
                <w:szCs w:val="24"/>
              </w:rPr>
              <w:t>Economic/institutional response to environmental pressure</w:t>
            </w:r>
          </w:p>
        </w:tc>
      </w:tr>
    </w:tbl>
    <w:p w14:paraId="755E25E9" w14:textId="77777777" w:rsidR="009C0893" w:rsidRPr="005075C4" w:rsidRDefault="009C0893" w:rsidP="00556A31">
      <w:pPr>
        <w:spacing w:after="0" w:line="240" w:lineRule="auto"/>
        <w:jc w:val="both"/>
        <w:rPr>
          <w:rFonts w:cs="Arial"/>
          <w:b/>
          <w:bCs/>
          <w:sz w:val="24"/>
          <w:szCs w:val="24"/>
        </w:rPr>
      </w:pPr>
    </w:p>
    <w:p w14:paraId="14DB52F2" w14:textId="674B01E8" w:rsidR="00BB229D" w:rsidRPr="005075C4" w:rsidRDefault="00DD797B" w:rsidP="00556A31">
      <w:pPr>
        <w:spacing w:after="0" w:line="240" w:lineRule="auto"/>
        <w:jc w:val="both"/>
        <w:rPr>
          <w:rFonts w:cs="Arial"/>
          <w:b/>
          <w:bCs/>
          <w:sz w:val="24"/>
          <w:szCs w:val="24"/>
        </w:rPr>
      </w:pPr>
      <w:r>
        <w:rPr>
          <w:rFonts w:cs="Arial"/>
          <w:b/>
          <w:bCs/>
          <w:sz w:val="24"/>
          <w:szCs w:val="24"/>
        </w:rPr>
        <w:t xml:space="preserve">SEEA </w:t>
      </w:r>
      <w:r w:rsidR="00A72CB5" w:rsidRPr="00556A31">
        <w:rPr>
          <w:rFonts w:cs="Arial"/>
          <w:b/>
          <w:bCs/>
          <w:sz w:val="24"/>
          <w:szCs w:val="24"/>
        </w:rPr>
        <w:t>ECOSYSTEM</w:t>
      </w:r>
      <w:r>
        <w:rPr>
          <w:rFonts w:cs="Arial"/>
          <w:b/>
          <w:bCs/>
          <w:sz w:val="24"/>
          <w:szCs w:val="24"/>
        </w:rPr>
        <w:t xml:space="preserve"> ACCOUNTING OF MEXICO (SEEA-EA Mx)</w:t>
      </w:r>
    </w:p>
    <w:p w14:paraId="7F710479" w14:textId="77777777" w:rsidR="00EC369F" w:rsidRPr="005075C4" w:rsidRDefault="00EC369F" w:rsidP="00556A31">
      <w:pPr>
        <w:spacing w:after="0" w:line="240" w:lineRule="auto"/>
        <w:jc w:val="both"/>
        <w:rPr>
          <w:rFonts w:cs="Arial"/>
          <w:b/>
          <w:bCs/>
          <w:sz w:val="24"/>
          <w:szCs w:val="24"/>
        </w:rPr>
      </w:pPr>
    </w:p>
    <w:p w14:paraId="3D09D373" w14:textId="56BCAEA6" w:rsidR="00BB229D" w:rsidRPr="005075C4" w:rsidRDefault="009C0893" w:rsidP="00556A31">
      <w:pPr>
        <w:spacing w:after="0" w:line="240" w:lineRule="auto"/>
        <w:jc w:val="both"/>
        <w:rPr>
          <w:rFonts w:cs="Arial"/>
          <w:sz w:val="24"/>
          <w:szCs w:val="24"/>
        </w:rPr>
      </w:pPr>
      <w:r w:rsidRPr="005075C4">
        <w:rPr>
          <w:rFonts w:cs="Arial"/>
          <w:sz w:val="24"/>
          <w:szCs w:val="24"/>
        </w:rPr>
        <w:t xml:space="preserve">The </w:t>
      </w:r>
      <w:r w:rsidR="00DD797B">
        <w:rPr>
          <w:rFonts w:cs="Arial"/>
          <w:sz w:val="24"/>
          <w:szCs w:val="24"/>
        </w:rPr>
        <w:t>SEEA-</w:t>
      </w:r>
      <w:r w:rsidR="009940E9">
        <w:rPr>
          <w:rFonts w:cs="Arial"/>
          <w:sz w:val="24"/>
          <w:szCs w:val="24"/>
        </w:rPr>
        <w:t>EA</w:t>
      </w:r>
      <w:r w:rsidR="00DD797B">
        <w:rPr>
          <w:rFonts w:cs="Arial"/>
          <w:sz w:val="24"/>
          <w:szCs w:val="24"/>
        </w:rPr>
        <w:t xml:space="preserve"> </w:t>
      </w:r>
      <w:r w:rsidR="009940E9">
        <w:rPr>
          <w:rFonts w:cs="Arial"/>
          <w:sz w:val="24"/>
          <w:szCs w:val="24"/>
        </w:rPr>
        <w:t>M</w:t>
      </w:r>
      <w:r w:rsidR="00DD797B">
        <w:rPr>
          <w:rFonts w:cs="Arial"/>
          <w:sz w:val="24"/>
          <w:szCs w:val="24"/>
        </w:rPr>
        <w:t>x</w:t>
      </w:r>
      <w:r w:rsidRPr="005075C4">
        <w:rPr>
          <w:rFonts w:cs="Arial"/>
          <w:sz w:val="24"/>
          <w:szCs w:val="24"/>
        </w:rPr>
        <w:t xml:space="preserve"> </w:t>
      </w:r>
      <w:r w:rsidRPr="00556A31">
        <w:rPr>
          <w:rFonts w:cs="Arial"/>
          <w:sz w:val="24"/>
          <w:szCs w:val="24"/>
        </w:rPr>
        <w:t>began in 2014 through the Advancing Natural Capital Accounting (ANCA) project and since 2017 it has participated in the NCAVES project, coordinated by the United Nations and with the participation of international organizations. This work served as the basis for the development of the current accounts.</w:t>
      </w:r>
    </w:p>
    <w:p w14:paraId="0DCE4F49" w14:textId="77777777" w:rsidR="00EC369F" w:rsidRPr="005075C4" w:rsidRDefault="00EC369F" w:rsidP="00556A31">
      <w:pPr>
        <w:spacing w:after="0" w:line="240" w:lineRule="auto"/>
        <w:jc w:val="both"/>
        <w:rPr>
          <w:rFonts w:cs="Arial"/>
          <w:sz w:val="24"/>
          <w:szCs w:val="24"/>
        </w:rPr>
      </w:pPr>
    </w:p>
    <w:p w14:paraId="3D01ABD5" w14:textId="060B1D0B" w:rsidR="00BB229D" w:rsidRPr="005075C4" w:rsidRDefault="00DD797B" w:rsidP="00556A31">
      <w:pPr>
        <w:spacing w:after="0" w:line="240" w:lineRule="auto"/>
        <w:jc w:val="both"/>
        <w:rPr>
          <w:rFonts w:cs="Arial"/>
          <w:sz w:val="24"/>
          <w:szCs w:val="24"/>
        </w:rPr>
      </w:pPr>
      <w:r>
        <w:rPr>
          <w:rFonts w:cs="Arial"/>
          <w:sz w:val="24"/>
          <w:szCs w:val="24"/>
        </w:rPr>
        <w:t>SEEA-EA Mx</w:t>
      </w:r>
      <w:r w:rsidR="00BB229D" w:rsidRPr="00556A31">
        <w:rPr>
          <w:rFonts w:cs="Arial"/>
          <w:sz w:val="24"/>
          <w:szCs w:val="24"/>
        </w:rPr>
        <w:t xml:space="preserve"> </w:t>
      </w:r>
      <w:proofErr w:type="gramStart"/>
      <w:r w:rsidR="00BB229D" w:rsidRPr="00556A31">
        <w:rPr>
          <w:rFonts w:cs="Arial"/>
          <w:sz w:val="24"/>
          <w:szCs w:val="24"/>
        </w:rPr>
        <w:t>adopt</w:t>
      </w:r>
      <w:proofErr w:type="gramEnd"/>
      <w:r w:rsidR="00BB229D" w:rsidRPr="00556A31">
        <w:rPr>
          <w:rFonts w:cs="Arial"/>
          <w:sz w:val="24"/>
          <w:szCs w:val="24"/>
        </w:rPr>
        <w:t xml:space="preserve"> the </w:t>
      </w:r>
      <w:r w:rsidR="005075C4">
        <w:rPr>
          <w:rFonts w:cs="Arial"/>
          <w:sz w:val="24"/>
          <w:szCs w:val="24"/>
        </w:rPr>
        <w:t>SEEA</w:t>
      </w:r>
      <w:r w:rsidR="00BB229D" w:rsidRPr="00556A31">
        <w:rPr>
          <w:rFonts w:cs="Arial"/>
          <w:sz w:val="24"/>
          <w:szCs w:val="24"/>
        </w:rPr>
        <w:t xml:space="preserve">-EA approach and </w:t>
      </w:r>
      <w:r w:rsidR="008573AC" w:rsidRPr="00556A31">
        <w:rPr>
          <w:rFonts w:cs="Arial"/>
          <w:b/>
          <w:bCs/>
          <w:sz w:val="24"/>
          <w:szCs w:val="24"/>
        </w:rPr>
        <w:t>compile information on the type, extent, location and condition of ecosystems</w:t>
      </w:r>
      <w:r w:rsidR="00BB229D" w:rsidRPr="00556A31">
        <w:rPr>
          <w:rFonts w:cs="Arial"/>
          <w:sz w:val="24"/>
          <w:szCs w:val="24"/>
        </w:rPr>
        <w:t xml:space="preserve">, </w:t>
      </w:r>
      <w:r w:rsidR="00BB229D" w:rsidRPr="00556A31">
        <w:rPr>
          <w:rFonts w:cs="Arial"/>
          <w:b/>
          <w:bCs/>
          <w:sz w:val="24"/>
          <w:szCs w:val="24"/>
        </w:rPr>
        <w:t xml:space="preserve">as well as on the services they </w:t>
      </w:r>
      <w:r w:rsidR="00BB229D" w:rsidRPr="00556A31">
        <w:rPr>
          <w:rFonts w:cs="Arial"/>
          <w:b/>
          <w:bCs/>
          <w:sz w:val="24"/>
          <w:szCs w:val="24"/>
        </w:rPr>
        <w:lastRenderedPageBreak/>
        <w:t>provide</w:t>
      </w:r>
      <w:r w:rsidR="00BB229D" w:rsidRPr="00556A31">
        <w:rPr>
          <w:rFonts w:cs="Arial"/>
          <w:sz w:val="24"/>
          <w:szCs w:val="24"/>
        </w:rPr>
        <w:t xml:space="preserve">. The 2024 update uses the 2018 base year and </w:t>
      </w:r>
      <w:r w:rsidR="00BB229D" w:rsidRPr="00556A31">
        <w:rPr>
          <w:rFonts w:cs="Arial"/>
          <w:b/>
          <w:bCs/>
          <w:sz w:val="24"/>
          <w:szCs w:val="24"/>
        </w:rPr>
        <w:t>provides spatial and economic results.</w:t>
      </w:r>
      <w:r w:rsidR="00BB229D" w:rsidRPr="00556A31">
        <w:rPr>
          <w:rFonts w:cs="Arial"/>
          <w:sz w:val="24"/>
          <w:szCs w:val="24"/>
        </w:rPr>
        <w:t xml:space="preserve"> Its elements include information on ecosystem extent, ecological integrity and valuation of services such as provision for agricultural production, pollination, carbon sequestration and storage, and household water supply.</w:t>
      </w:r>
    </w:p>
    <w:p w14:paraId="0B8670C9" w14:textId="77777777" w:rsidR="00A72CB5" w:rsidRPr="005075C4" w:rsidRDefault="00A72CB5" w:rsidP="00556A31">
      <w:pPr>
        <w:spacing w:after="0" w:line="240" w:lineRule="auto"/>
        <w:jc w:val="both"/>
        <w:rPr>
          <w:rFonts w:cs="Arial"/>
          <w:sz w:val="24"/>
          <w:szCs w:val="24"/>
        </w:rPr>
      </w:pPr>
    </w:p>
    <w:p w14:paraId="0429E80B" w14:textId="39BE425F" w:rsidR="00BB229D" w:rsidRPr="005075C4" w:rsidRDefault="00BB229D" w:rsidP="00556A31">
      <w:pPr>
        <w:spacing w:after="0" w:line="240" w:lineRule="auto"/>
        <w:jc w:val="both"/>
        <w:rPr>
          <w:rFonts w:cs="Arial"/>
          <w:sz w:val="24"/>
          <w:szCs w:val="24"/>
        </w:rPr>
      </w:pPr>
      <w:r w:rsidRPr="00556A31">
        <w:rPr>
          <w:rFonts w:cs="Arial"/>
          <w:sz w:val="24"/>
          <w:szCs w:val="24"/>
        </w:rPr>
        <w:t>The spatial dimension makes it possible to overcome a limitation of many national indicators, as the national average can mask huge territorial differences.</w:t>
      </w:r>
      <w:r w:rsidR="00DD797B">
        <w:rPr>
          <w:rFonts w:cs="Arial"/>
          <w:sz w:val="24"/>
          <w:szCs w:val="24"/>
        </w:rPr>
        <w:t xml:space="preserve"> D</w:t>
      </w:r>
      <w:r w:rsidRPr="00556A31">
        <w:rPr>
          <w:rFonts w:cs="Arial"/>
          <w:sz w:val="24"/>
          <w:szCs w:val="24"/>
        </w:rPr>
        <w:t xml:space="preserve">eterioration in a watershed, an agricultural region or an urban area can have localized economic and social effects that do not clearly appear in a national aggregate. </w:t>
      </w:r>
      <w:r w:rsidR="00DD797B">
        <w:rPr>
          <w:rFonts w:cs="Arial"/>
          <w:sz w:val="24"/>
          <w:szCs w:val="24"/>
        </w:rPr>
        <w:t>SEEA EA Mx</w:t>
      </w:r>
      <w:r w:rsidR="005075C4" w:rsidRPr="00556A31">
        <w:rPr>
          <w:rFonts w:cs="Arial"/>
          <w:sz w:val="24"/>
          <w:szCs w:val="24"/>
        </w:rPr>
        <w:t xml:space="preserve"> offers</w:t>
      </w:r>
      <w:r w:rsidRPr="00556A31">
        <w:rPr>
          <w:rFonts w:cs="Arial"/>
          <w:sz w:val="24"/>
          <w:szCs w:val="24"/>
        </w:rPr>
        <w:t xml:space="preserve"> the possibility of combining maps, physical accounts and economic valuation, creating a basis for territorial analyses of resilience and sustainability.</w:t>
      </w:r>
    </w:p>
    <w:p w14:paraId="14C3159B" w14:textId="77777777" w:rsidR="00EC369F" w:rsidRPr="005075C4" w:rsidRDefault="00EC369F" w:rsidP="00556A31">
      <w:pPr>
        <w:spacing w:after="0" w:line="240" w:lineRule="auto"/>
        <w:jc w:val="both"/>
        <w:rPr>
          <w:rFonts w:cs="Arial"/>
          <w:sz w:val="24"/>
          <w:szCs w:val="24"/>
        </w:rPr>
      </w:pPr>
    </w:p>
    <w:p w14:paraId="56B7A36B" w14:textId="318B836F" w:rsidR="00BB229D" w:rsidRPr="005075C4" w:rsidRDefault="00BB229D" w:rsidP="00556A31">
      <w:pPr>
        <w:spacing w:after="0" w:line="240" w:lineRule="auto"/>
        <w:jc w:val="both"/>
        <w:rPr>
          <w:rFonts w:cs="Arial"/>
          <w:sz w:val="24"/>
          <w:szCs w:val="24"/>
        </w:rPr>
      </w:pPr>
      <w:r w:rsidRPr="00556A31">
        <w:rPr>
          <w:rFonts w:cs="Arial"/>
          <w:sz w:val="24"/>
          <w:szCs w:val="24"/>
        </w:rPr>
        <w:t xml:space="preserve">The extension results also show the diversity of the </w:t>
      </w:r>
      <w:r w:rsidR="005075C4">
        <w:rPr>
          <w:rFonts w:cs="Arial"/>
          <w:sz w:val="24"/>
          <w:szCs w:val="24"/>
        </w:rPr>
        <w:t>M</w:t>
      </w:r>
      <w:r w:rsidR="005075C4" w:rsidRPr="00556A31">
        <w:rPr>
          <w:rFonts w:cs="Arial"/>
          <w:sz w:val="24"/>
          <w:szCs w:val="24"/>
        </w:rPr>
        <w:t>exican</w:t>
      </w:r>
      <w:r w:rsidRPr="00556A31">
        <w:rPr>
          <w:rFonts w:cs="Arial"/>
          <w:sz w:val="24"/>
          <w:szCs w:val="24"/>
        </w:rPr>
        <w:t xml:space="preserve"> natural base. By 2018, the classification used by INEGI included 34 categories of land use and vegetation. Primary non-woody xerophilous shrubland represented 16.9% of the territory and annual agriculture 15.9%. This information allows us to observe the territory as a set of ecosystem assets whose condition and transformation can be related to productive activities and services.</w:t>
      </w:r>
    </w:p>
    <w:p w14:paraId="27663F96" w14:textId="77777777" w:rsidR="00EC369F" w:rsidRPr="005075C4" w:rsidRDefault="00EC369F" w:rsidP="00556A31">
      <w:pPr>
        <w:spacing w:after="0" w:line="240" w:lineRule="auto"/>
        <w:jc w:val="both"/>
        <w:rPr>
          <w:rFonts w:cs="Arial"/>
          <w:sz w:val="24"/>
          <w:szCs w:val="24"/>
        </w:rPr>
      </w:pPr>
    </w:p>
    <w:tbl>
      <w:tblPr>
        <w:tblStyle w:val="Tablaconcuadrcula"/>
        <w:tblW w:w="0" w:type="auto"/>
        <w:jc w:val="center"/>
        <w:tblLook w:val="04A0" w:firstRow="1" w:lastRow="0" w:firstColumn="1" w:lastColumn="0" w:noHBand="0" w:noVBand="1"/>
      </w:tblPr>
      <w:tblGrid>
        <w:gridCol w:w="2405"/>
        <w:gridCol w:w="3465"/>
        <w:gridCol w:w="2958"/>
      </w:tblGrid>
      <w:tr w:rsidR="00BB229D" w:rsidRPr="00556A31" w14:paraId="3E2CB114" w14:textId="77777777" w:rsidTr="005075C4">
        <w:trPr>
          <w:jc w:val="center"/>
        </w:trPr>
        <w:tc>
          <w:tcPr>
            <w:tcW w:w="2405" w:type="dxa"/>
            <w:shd w:val="clear" w:color="auto" w:fill="008080"/>
            <w:vAlign w:val="center"/>
          </w:tcPr>
          <w:p w14:paraId="5E052D44" w14:textId="47704745" w:rsidR="00BB229D" w:rsidRPr="00A72CB5" w:rsidRDefault="00DD797B" w:rsidP="00A72CB5">
            <w:pPr>
              <w:spacing w:after="0" w:line="240" w:lineRule="auto"/>
              <w:jc w:val="center"/>
              <w:rPr>
                <w:rFonts w:cs="Arial"/>
                <w:b/>
                <w:bCs/>
                <w:color w:val="FFFFFF" w:themeColor="background1"/>
                <w:sz w:val="24"/>
                <w:szCs w:val="24"/>
              </w:rPr>
            </w:pPr>
            <w:r>
              <w:rPr>
                <w:rFonts w:cs="Arial"/>
                <w:b/>
                <w:bCs/>
                <w:color w:val="FFFFFF" w:themeColor="background1"/>
                <w:sz w:val="24"/>
                <w:szCs w:val="24"/>
              </w:rPr>
              <w:t>SEEA EA Mx</w:t>
            </w:r>
            <w:r w:rsidR="00BB229D" w:rsidRPr="00A72CB5">
              <w:rPr>
                <w:rFonts w:cs="Arial"/>
                <w:b/>
                <w:bCs/>
                <w:color w:val="FFFFFF" w:themeColor="background1"/>
                <w:sz w:val="24"/>
                <w:szCs w:val="24"/>
              </w:rPr>
              <w:t xml:space="preserve"> Component</w:t>
            </w:r>
          </w:p>
        </w:tc>
        <w:tc>
          <w:tcPr>
            <w:tcW w:w="3465" w:type="dxa"/>
            <w:shd w:val="clear" w:color="auto" w:fill="008080"/>
            <w:vAlign w:val="center"/>
          </w:tcPr>
          <w:p w14:paraId="07A66B0A"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Statistical function</w:t>
            </w:r>
          </w:p>
        </w:tc>
        <w:tc>
          <w:tcPr>
            <w:tcW w:w="2958" w:type="dxa"/>
            <w:shd w:val="clear" w:color="auto" w:fill="008080"/>
            <w:vAlign w:val="center"/>
          </w:tcPr>
          <w:p w14:paraId="1665103D" w14:textId="119567AA" w:rsidR="00BB229D" w:rsidRPr="00A72CB5" w:rsidRDefault="005075C4" w:rsidP="00A72CB5">
            <w:pPr>
              <w:spacing w:after="0" w:line="240" w:lineRule="auto"/>
              <w:jc w:val="center"/>
              <w:rPr>
                <w:rFonts w:cs="Arial"/>
                <w:b/>
                <w:bCs/>
                <w:color w:val="FFFFFF" w:themeColor="background1"/>
                <w:sz w:val="24"/>
                <w:szCs w:val="24"/>
              </w:rPr>
            </w:pPr>
            <w:r>
              <w:rPr>
                <w:rFonts w:cs="Arial"/>
                <w:b/>
                <w:bCs/>
                <w:color w:val="FFFFFF" w:themeColor="background1"/>
                <w:sz w:val="24"/>
                <w:szCs w:val="24"/>
              </w:rPr>
              <w:t xml:space="preserve">Application to </w:t>
            </w:r>
            <w:r w:rsidR="00BB229D" w:rsidRPr="00A72CB5">
              <w:rPr>
                <w:rFonts w:cs="Arial"/>
                <w:b/>
                <w:bCs/>
                <w:color w:val="FFFFFF" w:themeColor="background1"/>
                <w:sz w:val="24"/>
                <w:szCs w:val="24"/>
              </w:rPr>
              <w:t>Beyond GDP</w:t>
            </w:r>
          </w:p>
        </w:tc>
      </w:tr>
      <w:tr w:rsidR="00BB229D" w:rsidRPr="00A72CB5" w14:paraId="2B45C044" w14:textId="77777777" w:rsidTr="005075C4">
        <w:trPr>
          <w:jc w:val="center"/>
        </w:trPr>
        <w:tc>
          <w:tcPr>
            <w:tcW w:w="2405" w:type="dxa"/>
            <w:shd w:val="clear" w:color="auto" w:fill="C5F1F0"/>
            <w:vAlign w:val="center"/>
          </w:tcPr>
          <w:p w14:paraId="53921997" w14:textId="77777777" w:rsidR="00BB229D" w:rsidRPr="00556A31" w:rsidRDefault="00BB229D" w:rsidP="00556A31">
            <w:pPr>
              <w:spacing w:after="0" w:line="240" w:lineRule="auto"/>
              <w:jc w:val="both"/>
              <w:rPr>
                <w:rFonts w:cs="Arial"/>
                <w:sz w:val="24"/>
                <w:szCs w:val="24"/>
              </w:rPr>
            </w:pPr>
            <w:r w:rsidRPr="00556A31">
              <w:rPr>
                <w:rFonts w:cs="Arial"/>
                <w:sz w:val="24"/>
                <w:szCs w:val="24"/>
              </w:rPr>
              <w:t>Extension</w:t>
            </w:r>
          </w:p>
        </w:tc>
        <w:tc>
          <w:tcPr>
            <w:tcW w:w="3465" w:type="dxa"/>
            <w:shd w:val="clear" w:color="auto" w:fill="C5F1F0"/>
            <w:vAlign w:val="center"/>
          </w:tcPr>
          <w:p w14:paraId="26ECA114" w14:textId="77777777" w:rsidR="00BB229D" w:rsidRPr="005075C4" w:rsidRDefault="00BB229D" w:rsidP="00556A31">
            <w:pPr>
              <w:spacing w:after="0" w:line="240" w:lineRule="auto"/>
              <w:jc w:val="both"/>
              <w:rPr>
                <w:rFonts w:cs="Arial"/>
                <w:sz w:val="24"/>
                <w:szCs w:val="24"/>
              </w:rPr>
            </w:pPr>
            <w:r w:rsidRPr="00556A31">
              <w:rPr>
                <w:rFonts w:cs="Arial"/>
                <w:sz w:val="24"/>
                <w:szCs w:val="24"/>
              </w:rPr>
              <w:t>Measure surface area and changes by ecosystem type</w:t>
            </w:r>
          </w:p>
        </w:tc>
        <w:tc>
          <w:tcPr>
            <w:tcW w:w="2958" w:type="dxa"/>
            <w:shd w:val="clear" w:color="auto" w:fill="C5F1F0"/>
            <w:vAlign w:val="center"/>
          </w:tcPr>
          <w:p w14:paraId="5EEC5355" w14:textId="77777777" w:rsidR="00BB229D" w:rsidRPr="005075C4" w:rsidRDefault="00BB229D" w:rsidP="00556A31">
            <w:pPr>
              <w:spacing w:after="0" w:line="240" w:lineRule="auto"/>
              <w:jc w:val="both"/>
              <w:rPr>
                <w:rFonts w:cs="Arial"/>
                <w:sz w:val="24"/>
                <w:szCs w:val="24"/>
              </w:rPr>
            </w:pPr>
            <w:r w:rsidRPr="00556A31">
              <w:rPr>
                <w:rFonts w:cs="Arial"/>
                <w:sz w:val="24"/>
                <w:szCs w:val="24"/>
              </w:rPr>
              <w:t>Territorial pressure and transformation of natural capital</w:t>
            </w:r>
          </w:p>
        </w:tc>
      </w:tr>
      <w:tr w:rsidR="00BB229D" w:rsidRPr="00556A31" w14:paraId="37F5D477" w14:textId="77777777" w:rsidTr="005075C4">
        <w:trPr>
          <w:jc w:val="center"/>
        </w:trPr>
        <w:tc>
          <w:tcPr>
            <w:tcW w:w="2405" w:type="dxa"/>
            <w:vAlign w:val="center"/>
          </w:tcPr>
          <w:p w14:paraId="2DEDC91F" w14:textId="77777777" w:rsidR="00BB229D" w:rsidRPr="00556A31" w:rsidRDefault="00BB229D" w:rsidP="00556A31">
            <w:pPr>
              <w:spacing w:after="0" w:line="240" w:lineRule="auto"/>
              <w:jc w:val="both"/>
              <w:rPr>
                <w:rFonts w:cs="Arial"/>
                <w:sz w:val="24"/>
                <w:szCs w:val="24"/>
              </w:rPr>
            </w:pPr>
            <w:r w:rsidRPr="00556A31">
              <w:rPr>
                <w:rFonts w:cs="Arial"/>
                <w:sz w:val="24"/>
                <w:szCs w:val="24"/>
              </w:rPr>
              <w:t>Condition</w:t>
            </w:r>
          </w:p>
        </w:tc>
        <w:tc>
          <w:tcPr>
            <w:tcW w:w="3465" w:type="dxa"/>
            <w:vAlign w:val="center"/>
          </w:tcPr>
          <w:p w14:paraId="16496AA1" w14:textId="77777777" w:rsidR="00BB229D" w:rsidRPr="005075C4" w:rsidRDefault="00BB229D" w:rsidP="00556A31">
            <w:pPr>
              <w:spacing w:after="0" w:line="240" w:lineRule="auto"/>
              <w:jc w:val="both"/>
              <w:rPr>
                <w:rFonts w:cs="Arial"/>
                <w:sz w:val="24"/>
                <w:szCs w:val="24"/>
              </w:rPr>
            </w:pPr>
            <w:r w:rsidRPr="00556A31">
              <w:rPr>
                <w:rFonts w:cs="Arial"/>
                <w:sz w:val="24"/>
                <w:szCs w:val="24"/>
              </w:rPr>
              <w:t>Characterizes the state and evolution of ecosystems</w:t>
            </w:r>
          </w:p>
        </w:tc>
        <w:tc>
          <w:tcPr>
            <w:tcW w:w="2958" w:type="dxa"/>
            <w:vAlign w:val="center"/>
          </w:tcPr>
          <w:p w14:paraId="198C5717" w14:textId="77777777" w:rsidR="00BB229D" w:rsidRPr="00556A31" w:rsidRDefault="00BB229D" w:rsidP="00556A31">
            <w:pPr>
              <w:spacing w:after="0" w:line="240" w:lineRule="auto"/>
              <w:jc w:val="both"/>
              <w:rPr>
                <w:rFonts w:cs="Arial"/>
                <w:sz w:val="24"/>
                <w:szCs w:val="24"/>
              </w:rPr>
            </w:pPr>
            <w:r w:rsidRPr="00556A31">
              <w:rPr>
                <w:rFonts w:cs="Arial"/>
                <w:sz w:val="24"/>
                <w:szCs w:val="24"/>
              </w:rPr>
              <w:t>Sustainability and resilience</w:t>
            </w:r>
          </w:p>
        </w:tc>
      </w:tr>
      <w:tr w:rsidR="00BB229D" w:rsidRPr="00A72CB5" w14:paraId="764BBA23" w14:textId="77777777" w:rsidTr="005075C4">
        <w:trPr>
          <w:jc w:val="center"/>
        </w:trPr>
        <w:tc>
          <w:tcPr>
            <w:tcW w:w="2405" w:type="dxa"/>
            <w:shd w:val="clear" w:color="auto" w:fill="C5F1F0"/>
            <w:vAlign w:val="center"/>
          </w:tcPr>
          <w:p w14:paraId="6CE49B2A" w14:textId="12529EEE" w:rsidR="00BB229D" w:rsidRPr="00556A31" w:rsidRDefault="00BB229D" w:rsidP="00556A31">
            <w:pPr>
              <w:spacing w:after="0" w:line="240" w:lineRule="auto"/>
              <w:jc w:val="both"/>
              <w:rPr>
                <w:rFonts w:cs="Arial"/>
                <w:sz w:val="24"/>
                <w:szCs w:val="24"/>
              </w:rPr>
            </w:pPr>
            <w:r w:rsidRPr="00556A31">
              <w:rPr>
                <w:rFonts w:cs="Arial"/>
                <w:sz w:val="24"/>
                <w:szCs w:val="24"/>
              </w:rPr>
              <w:t xml:space="preserve">Physical </w:t>
            </w:r>
            <w:r w:rsidR="005075C4">
              <w:rPr>
                <w:rFonts w:cs="Arial"/>
                <w:sz w:val="24"/>
                <w:szCs w:val="24"/>
              </w:rPr>
              <w:t>s</w:t>
            </w:r>
            <w:r w:rsidRPr="00556A31">
              <w:rPr>
                <w:rFonts w:cs="Arial"/>
                <w:sz w:val="24"/>
                <w:szCs w:val="24"/>
              </w:rPr>
              <w:t>ervices</w:t>
            </w:r>
          </w:p>
        </w:tc>
        <w:tc>
          <w:tcPr>
            <w:tcW w:w="3465" w:type="dxa"/>
            <w:shd w:val="clear" w:color="auto" w:fill="C5F1F0"/>
            <w:vAlign w:val="center"/>
          </w:tcPr>
          <w:p w14:paraId="19219478" w14:textId="77777777" w:rsidR="00BB229D" w:rsidRPr="005075C4" w:rsidRDefault="00BB229D" w:rsidP="00556A31">
            <w:pPr>
              <w:spacing w:after="0" w:line="240" w:lineRule="auto"/>
              <w:jc w:val="both"/>
              <w:rPr>
                <w:rFonts w:cs="Arial"/>
                <w:sz w:val="24"/>
                <w:szCs w:val="24"/>
              </w:rPr>
            </w:pPr>
            <w:r w:rsidRPr="00556A31">
              <w:rPr>
                <w:rFonts w:cs="Arial"/>
                <w:sz w:val="24"/>
                <w:szCs w:val="24"/>
              </w:rPr>
              <w:t>Register offer and use of services</w:t>
            </w:r>
          </w:p>
        </w:tc>
        <w:tc>
          <w:tcPr>
            <w:tcW w:w="2958" w:type="dxa"/>
            <w:shd w:val="clear" w:color="auto" w:fill="C5F1F0"/>
            <w:vAlign w:val="center"/>
          </w:tcPr>
          <w:p w14:paraId="38497CF6" w14:textId="77777777" w:rsidR="00BB229D" w:rsidRPr="005075C4" w:rsidRDefault="00BB229D" w:rsidP="00556A31">
            <w:pPr>
              <w:spacing w:after="0" w:line="240" w:lineRule="auto"/>
              <w:jc w:val="both"/>
              <w:rPr>
                <w:rFonts w:cs="Arial"/>
                <w:sz w:val="24"/>
                <w:szCs w:val="24"/>
              </w:rPr>
            </w:pPr>
            <w:r w:rsidRPr="00556A31">
              <w:rPr>
                <w:rFonts w:cs="Arial"/>
                <w:sz w:val="24"/>
                <w:szCs w:val="24"/>
              </w:rPr>
              <w:t>Dependence on sectors and households</w:t>
            </w:r>
          </w:p>
        </w:tc>
      </w:tr>
      <w:tr w:rsidR="00BB229D" w:rsidRPr="00556A31" w14:paraId="75199E35" w14:textId="77777777" w:rsidTr="005075C4">
        <w:trPr>
          <w:jc w:val="center"/>
        </w:trPr>
        <w:tc>
          <w:tcPr>
            <w:tcW w:w="2405" w:type="dxa"/>
            <w:vAlign w:val="center"/>
          </w:tcPr>
          <w:p w14:paraId="5230C993" w14:textId="70E03425" w:rsidR="00BB229D" w:rsidRPr="00556A31" w:rsidRDefault="00BB229D" w:rsidP="00556A31">
            <w:pPr>
              <w:spacing w:after="0" w:line="240" w:lineRule="auto"/>
              <w:jc w:val="both"/>
              <w:rPr>
                <w:rFonts w:cs="Arial"/>
                <w:sz w:val="24"/>
                <w:szCs w:val="24"/>
              </w:rPr>
            </w:pPr>
            <w:r w:rsidRPr="00556A31">
              <w:rPr>
                <w:rFonts w:cs="Arial"/>
                <w:sz w:val="24"/>
                <w:szCs w:val="24"/>
              </w:rPr>
              <w:t xml:space="preserve">Money </w:t>
            </w:r>
            <w:r w:rsidR="005075C4">
              <w:rPr>
                <w:rFonts w:cs="Arial"/>
                <w:sz w:val="24"/>
                <w:szCs w:val="24"/>
              </w:rPr>
              <w:t>s</w:t>
            </w:r>
            <w:r w:rsidRPr="00556A31">
              <w:rPr>
                <w:rFonts w:cs="Arial"/>
                <w:sz w:val="24"/>
                <w:szCs w:val="24"/>
              </w:rPr>
              <w:t>ervices</w:t>
            </w:r>
          </w:p>
        </w:tc>
        <w:tc>
          <w:tcPr>
            <w:tcW w:w="3465" w:type="dxa"/>
            <w:vAlign w:val="center"/>
          </w:tcPr>
          <w:p w14:paraId="34B1E5CB" w14:textId="77777777" w:rsidR="00BB229D" w:rsidRPr="00556A31" w:rsidRDefault="00BB229D" w:rsidP="00556A31">
            <w:pPr>
              <w:spacing w:after="0" w:line="240" w:lineRule="auto"/>
              <w:jc w:val="both"/>
              <w:rPr>
                <w:rFonts w:cs="Arial"/>
                <w:sz w:val="24"/>
                <w:szCs w:val="24"/>
              </w:rPr>
            </w:pPr>
            <w:r w:rsidRPr="00556A31">
              <w:rPr>
                <w:rFonts w:cs="Arial"/>
                <w:sz w:val="24"/>
                <w:szCs w:val="24"/>
              </w:rPr>
              <w:t>Assess service flows</w:t>
            </w:r>
          </w:p>
        </w:tc>
        <w:tc>
          <w:tcPr>
            <w:tcW w:w="2958" w:type="dxa"/>
            <w:vAlign w:val="center"/>
          </w:tcPr>
          <w:p w14:paraId="27C96AF9" w14:textId="77777777" w:rsidR="00BB229D" w:rsidRPr="00556A31" w:rsidRDefault="00BB229D" w:rsidP="00556A31">
            <w:pPr>
              <w:spacing w:after="0" w:line="240" w:lineRule="auto"/>
              <w:jc w:val="both"/>
              <w:rPr>
                <w:rFonts w:cs="Arial"/>
                <w:sz w:val="24"/>
                <w:szCs w:val="24"/>
              </w:rPr>
            </w:pPr>
            <w:r w:rsidRPr="00556A31">
              <w:rPr>
                <w:rFonts w:cs="Arial"/>
                <w:sz w:val="24"/>
                <w:szCs w:val="24"/>
              </w:rPr>
              <w:t>Integration with economic analysis</w:t>
            </w:r>
          </w:p>
        </w:tc>
      </w:tr>
      <w:tr w:rsidR="00BB229D" w:rsidRPr="00556A31" w14:paraId="5C8E1706" w14:textId="77777777" w:rsidTr="005075C4">
        <w:trPr>
          <w:jc w:val="center"/>
        </w:trPr>
        <w:tc>
          <w:tcPr>
            <w:tcW w:w="2405" w:type="dxa"/>
            <w:shd w:val="clear" w:color="auto" w:fill="C5F1F0"/>
            <w:vAlign w:val="center"/>
          </w:tcPr>
          <w:p w14:paraId="72D74997" w14:textId="77777777" w:rsidR="00BB229D" w:rsidRPr="00556A31" w:rsidRDefault="00BB229D" w:rsidP="00556A31">
            <w:pPr>
              <w:spacing w:after="0" w:line="240" w:lineRule="auto"/>
              <w:jc w:val="both"/>
              <w:rPr>
                <w:rFonts w:cs="Arial"/>
                <w:sz w:val="24"/>
                <w:szCs w:val="24"/>
              </w:rPr>
            </w:pPr>
            <w:r w:rsidRPr="00556A31">
              <w:rPr>
                <w:rFonts w:cs="Arial"/>
                <w:sz w:val="24"/>
                <w:szCs w:val="24"/>
              </w:rPr>
              <w:t>Ecosystem assets</w:t>
            </w:r>
          </w:p>
        </w:tc>
        <w:tc>
          <w:tcPr>
            <w:tcW w:w="3465" w:type="dxa"/>
            <w:shd w:val="clear" w:color="auto" w:fill="C5F1F0"/>
            <w:vAlign w:val="center"/>
          </w:tcPr>
          <w:p w14:paraId="482F2D40" w14:textId="77777777" w:rsidR="00BB229D" w:rsidRPr="00556A31" w:rsidRDefault="00BB229D" w:rsidP="00556A31">
            <w:pPr>
              <w:spacing w:after="0" w:line="240" w:lineRule="auto"/>
              <w:jc w:val="both"/>
              <w:rPr>
                <w:rFonts w:cs="Arial"/>
                <w:sz w:val="24"/>
                <w:szCs w:val="24"/>
              </w:rPr>
            </w:pPr>
            <w:r w:rsidRPr="00556A31">
              <w:rPr>
                <w:rFonts w:cs="Arial"/>
                <w:sz w:val="24"/>
                <w:szCs w:val="24"/>
              </w:rPr>
              <w:t>Record stocks and changes</w:t>
            </w:r>
          </w:p>
        </w:tc>
        <w:tc>
          <w:tcPr>
            <w:tcW w:w="2958" w:type="dxa"/>
            <w:shd w:val="clear" w:color="auto" w:fill="C5F1F0"/>
            <w:vAlign w:val="center"/>
          </w:tcPr>
          <w:p w14:paraId="54E7D2C8" w14:textId="77777777" w:rsidR="00BB229D" w:rsidRPr="00556A31" w:rsidRDefault="00BB229D" w:rsidP="00556A31">
            <w:pPr>
              <w:spacing w:after="0" w:line="240" w:lineRule="auto"/>
              <w:jc w:val="both"/>
              <w:rPr>
                <w:rFonts w:cs="Arial"/>
                <w:sz w:val="24"/>
                <w:szCs w:val="24"/>
              </w:rPr>
            </w:pPr>
            <w:r w:rsidRPr="00556A31">
              <w:rPr>
                <w:rFonts w:cs="Arial"/>
                <w:sz w:val="24"/>
                <w:szCs w:val="24"/>
              </w:rPr>
              <w:t>Natural heritage and sustainability</w:t>
            </w:r>
          </w:p>
        </w:tc>
      </w:tr>
    </w:tbl>
    <w:p w14:paraId="52162F40" w14:textId="77777777" w:rsidR="00BB229D" w:rsidRPr="00556A31" w:rsidRDefault="00BB229D" w:rsidP="00556A31">
      <w:pPr>
        <w:spacing w:after="0" w:line="240" w:lineRule="auto"/>
        <w:jc w:val="both"/>
        <w:rPr>
          <w:rFonts w:cs="Arial"/>
          <w:b/>
          <w:bCs/>
          <w:sz w:val="24"/>
          <w:szCs w:val="24"/>
          <w:lang w:val="es-MX"/>
        </w:rPr>
      </w:pPr>
    </w:p>
    <w:p w14:paraId="381F7D92" w14:textId="1198851F" w:rsidR="00BB229D" w:rsidRPr="005075C4" w:rsidRDefault="00A72CB5" w:rsidP="00556A31">
      <w:pPr>
        <w:spacing w:after="0" w:line="240" w:lineRule="auto"/>
        <w:jc w:val="both"/>
        <w:rPr>
          <w:rFonts w:cs="Arial"/>
          <w:b/>
          <w:bCs/>
          <w:sz w:val="24"/>
          <w:szCs w:val="24"/>
        </w:rPr>
      </w:pPr>
      <w:r w:rsidRPr="00556A31">
        <w:rPr>
          <w:rFonts w:cs="Arial"/>
          <w:b/>
          <w:bCs/>
          <w:sz w:val="24"/>
          <w:szCs w:val="24"/>
        </w:rPr>
        <w:t>MEXICO AND THE CONSTRUCTION OF A BEYOND GDP BOARD</w:t>
      </w:r>
    </w:p>
    <w:p w14:paraId="20AA9B24" w14:textId="77777777" w:rsidR="00EC369F" w:rsidRPr="005075C4" w:rsidRDefault="00EC369F" w:rsidP="00556A31">
      <w:pPr>
        <w:spacing w:after="0" w:line="240" w:lineRule="auto"/>
        <w:jc w:val="both"/>
        <w:rPr>
          <w:rFonts w:cs="Arial"/>
          <w:b/>
          <w:bCs/>
          <w:sz w:val="24"/>
          <w:szCs w:val="24"/>
        </w:rPr>
      </w:pPr>
    </w:p>
    <w:p w14:paraId="2B212348" w14:textId="2527BC47" w:rsidR="00BB229D" w:rsidRPr="005075C4" w:rsidRDefault="00BB229D" w:rsidP="00556A31">
      <w:pPr>
        <w:spacing w:after="0" w:line="240" w:lineRule="auto"/>
        <w:jc w:val="both"/>
        <w:rPr>
          <w:rFonts w:cs="Arial"/>
          <w:sz w:val="24"/>
          <w:szCs w:val="24"/>
        </w:rPr>
      </w:pPr>
      <w:r w:rsidRPr="00556A31">
        <w:rPr>
          <w:rFonts w:cs="Arial"/>
          <w:sz w:val="24"/>
          <w:szCs w:val="24"/>
        </w:rPr>
        <w:t xml:space="preserve">Based on the </w:t>
      </w:r>
      <w:r w:rsidR="005075C4">
        <w:rPr>
          <w:rFonts w:cs="Arial"/>
          <w:sz w:val="24"/>
          <w:szCs w:val="24"/>
        </w:rPr>
        <w:t>SEEA Mx</w:t>
      </w:r>
      <w:r w:rsidRPr="00556A31">
        <w:rPr>
          <w:rFonts w:cs="Arial"/>
          <w:sz w:val="24"/>
          <w:szCs w:val="24"/>
        </w:rPr>
        <w:t xml:space="preserve"> and </w:t>
      </w:r>
      <w:r w:rsidR="00DD797B">
        <w:rPr>
          <w:rFonts w:cs="Arial"/>
          <w:sz w:val="24"/>
          <w:szCs w:val="24"/>
        </w:rPr>
        <w:t>SEEA EA Mx</w:t>
      </w:r>
      <w:r w:rsidRPr="00556A31">
        <w:rPr>
          <w:rFonts w:cs="Arial"/>
          <w:sz w:val="24"/>
          <w:szCs w:val="24"/>
        </w:rPr>
        <w:t xml:space="preserve">, it is possible to propose a structure of Beyond GDP indicators based on </w:t>
      </w:r>
      <w:r w:rsidR="00A72CB5" w:rsidRPr="00EC369F">
        <w:rPr>
          <w:rFonts w:cs="Arial"/>
          <w:b/>
          <w:bCs/>
          <w:sz w:val="24"/>
          <w:szCs w:val="24"/>
        </w:rPr>
        <w:t>multiple dimensions: economic performance</w:t>
      </w:r>
      <w:r w:rsidRPr="00EC369F">
        <w:rPr>
          <w:rFonts w:cs="Arial"/>
          <w:sz w:val="24"/>
          <w:szCs w:val="24"/>
        </w:rPr>
        <w:t xml:space="preserve">, </w:t>
      </w:r>
      <w:r w:rsidRPr="00EC369F">
        <w:rPr>
          <w:rFonts w:cs="Arial"/>
          <w:b/>
          <w:bCs/>
          <w:sz w:val="24"/>
          <w:szCs w:val="24"/>
        </w:rPr>
        <w:t>well-being</w:t>
      </w:r>
      <w:r w:rsidRPr="00EC369F">
        <w:rPr>
          <w:rFonts w:cs="Arial"/>
          <w:sz w:val="24"/>
          <w:szCs w:val="24"/>
        </w:rPr>
        <w:t xml:space="preserve">, </w:t>
      </w:r>
      <w:r w:rsidRPr="00EC369F">
        <w:rPr>
          <w:rFonts w:cs="Arial"/>
          <w:b/>
          <w:bCs/>
          <w:sz w:val="24"/>
          <w:szCs w:val="24"/>
        </w:rPr>
        <w:t>environmental pressure and condition</w:t>
      </w:r>
      <w:r w:rsidRPr="00556A31">
        <w:rPr>
          <w:rFonts w:cs="Arial"/>
          <w:sz w:val="24"/>
          <w:szCs w:val="24"/>
        </w:rPr>
        <w:t xml:space="preserve">, and </w:t>
      </w:r>
      <w:r w:rsidRPr="00556A31">
        <w:rPr>
          <w:rFonts w:cs="Arial"/>
          <w:b/>
          <w:bCs/>
          <w:sz w:val="24"/>
          <w:szCs w:val="24"/>
        </w:rPr>
        <w:t>sustainability of the natural heritage</w:t>
      </w:r>
      <w:r w:rsidRPr="00556A31">
        <w:rPr>
          <w:rFonts w:cs="Arial"/>
          <w:sz w:val="24"/>
          <w:szCs w:val="24"/>
        </w:rPr>
        <w:t>. The first would preserve the traditional macroeconomic aggregates; the second would integrate social and distributional indicators; the third would use environmental flows and degradation costs; and the fourth would incorporate natural assets, ecosystem condition and services.</w:t>
      </w:r>
    </w:p>
    <w:p w14:paraId="63171CAF" w14:textId="77777777" w:rsidR="00EC369F" w:rsidRPr="005075C4" w:rsidRDefault="00EC369F" w:rsidP="00556A31">
      <w:pPr>
        <w:spacing w:after="0" w:line="240" w:lineRule="auto"/>
        <w:jc w:val="both"/>
        <w:rPr>
          <w:rFonts w:cs="Arial"/>
          <w:sz w:val="24"/>
          <w:szCs w:val="24"/>
        </w:rPr>
      </w:pPr>
    </w:p>
    <w:p w14:paraId="31534172" w14:textId="270850A9" w:rsidR="00BB229D" w:rsidRPr="005075C4" w:rsidRDefault="00BB229D" w:rsidP="00556A31">
      <w:pPr>
        <w:spacing w:after="0" w:line="240" w:lineRule="auto"/>
        <w:jc w:val="both"/>
        <w:rPr>
          <w:rFonts w:cs="Arial"/>
          <w:sz w:val="24"/>
          <w:szCs w:val="24"/>
        </w:rPr>
      </w:pPr>
      <w:r w:rsidRPr="00556A31">
        <w:rPr>
          <w:rFonts w:cs="Arial"/>
          <w:b/>
          <w:bCs/>
          <w:sz w:val="24"/>
          <w:szCs w:val="24"/>
        </w:rPr>
        <w:t>The advantage of this approach is that it avoids looking for a single indicator of well-being</w:t>
      </w:r>
      <w:r w:rsidRPr="00556A31">
        <w:rPr>
          <w:rFonts w:cs="Arial"/>
          <w:sz w:val="24"/>
          <w:szCs w:val="24"/>
        </w:rPr>
        <w:t xml:space="preserve">. </w:t>
      </w:r>
      <w:r w:rsidR="005075C4">
        <w:rPr>
          <w:rFonts w:cs="Arial"/>
          <w:sz w:val="24"/>
          <w:szCs w:val="24"/>
        </w:rPr>
        <w:t>SEEA</w:t>
      </w:r>
      <w:r w:rsidRPr="00556A31">
        <w:rPr>
          <w:rFonts w:cs="Arial"/>
          <w:sz w:val="24"/>
          <w:szCs w:val="24"/>
        </w:rPr>
        <w:t xml:space="preserve">, in fact, does not prescribe a set of indicators; it is a </w:t>
      </w:r>
      <w:r w:rsidRPr="00556A31">
        <w:rPr>
          <w:rFonts w:cs="Arial"/>
          <w:sz w:val="24"/>
          <w:szCs w:val="24"/>
        </w:rPr>
        <w:lastRenderedPageBreak/>
        <w:t>multipurpose system from which statistics can be derived for different applications. Consequently, the design of the dashboard should respond to public policy questions and not to the objective of constructing a figure to replace GDP.</w:t>
      </w:r>
    </w:p>
    <w:p w14:paraId="2943CBA9" w14:textId="77777777" w:rsidR="00A72CB5" w:rsidRPr="005075C4" w:rsidRDefault="00A72CB5" w:rsidP="00556A31">
      <w:pPr>
        <w:spacing w:after="0" w:line="240" w:lineRule="auto"/>
        <w:jc w:val="both"/>
        <w:rPr>
          <w:rFonts w:cs="Arial"/>
          <w:sz w:val="24"/>
          <w:szCs w:val="24"/>
        </w:rPr>
      </w:pPr>
    </w:p>
    <w:p w14:paraId="62028668" w14:textId="77777777" w:rsidR="00BB229D" w:rsidRPr="005075C4" w:rsidRDefault="00BB229D" w:rsidP="00556A31">
      <w:pPr>
        <w:spacing w:after="0" w:line="240" w:lineRule="auto"/>
        <w:jc w:val="both"/>
        <w:rPr>
          <w:rFonts w:cs="Arial"/>
          <w:sz w:val="24"/>
          <w:szCs w:val="24"/>
        </w:rPr>
      </w:pPr>
      <w:r w:rsidRPr="00556A31">
        <w:rPr>
          <w:rFonts w:cs="Arial"/>
          <w:b/>
          <w:bCs/>
          <w:sz w:val="24"/>
          <w:szCs w:val="24"/>
        </w:rPr>
        <w:t>A national dashboard</w:t>
      </w:r>
      <w:r w:rsidRPr="00556A31">
        <w:rPr>
          <w:rFonts w:cs="Arial"/>
          <w:sz w:val="24"/>
          <w:szCs w:val="24"/>
        </w:rPr>
        <w:t xml:space="preserve"> could, for example, jointly present GDP and PINE; environmental costs as a proportion of GDP; emissions and resource use; environmental protection spending; extent and condition of ecosystems; value of certain ecosystem services; evolution of natural capital; and measures of welfare distribution. The key would be to show the relationships between these elements and not simply accumulate indicators.</w:t>
      </w:r>
    </w:p>
    <w:p w14:paraId="069E0F6D" w14:textId="77777777" w:rsidR="00EC369F" w:rsidRPr="005075C4" w:rsidRDefault="00EC369F" w:rsidP="00556A31">
      <w:pPr>
        <w:spacing w:after="0" w:line="240" w:lineRule="auto"/>
        <w:jc w:val="both"/>
        <w:rPr>
          <w:rFonts w:cs="Arial"/>
          <w:sz w:val="24"/>
          <w:szCs w:val="24"/>
        </w:rPr>
      </w:pPr>
    </w:p>
    <w:tbl>
      <w:tblPr>
        <w:tblStyle w:val="Tablaconcuadrcula"/>
        <w:tblW w:w="0" w:type="auto"/>
        <w:jc w:val="center"/>
        <w:tblLook w:val="04A0" w:firstRow="1" w:lastRow="0" w:firstColumn="1" w:lastColumn="0" w:noHBand="0" w:noVBand="1"/>
      </w:tblPr>
      <w:tblGrid>
        <w:gridCol w:w="2835"/>
        <w:gridCol w:w="3043"/>
        <w:gridCol w:w="2950"/>
      </w:tblGrid>
      <w:tr w:rsidR="00BB229D" w:rsidRPr="00556A31" w14:paraId="66755821" w14:textId="77777777" w:rsidTr="00A72CB5">
        <w:trPr>
          <w:jc w:val="center"/>
        </w:trPr>
        <w:tc>
          <w:tcPr>
            <w:tcW w:w="3216" w:type="dxa"/>
            <w:shd w:val="clear" w:color="auto" w:fill="008080"/>
            <w:vAlign w:val="center"/>
          </w:tcPr>
          <w:p w14:paraId="15EB3560"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Dimension</w:t>
            </w:r>
          </w:p>
        </w:tc>
        <w:tc>
          <w:tcPr>
            <w:tcW w:w="3216" w:type="dxa"/>
            <w:shd w:val="clear" w:color="auto" w:fill="008080"/>
            <w:vAlign w:val="center"/>
          </w:tcPr>
          <w:p w14:paraId="7B6B656F"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Suggested SEEA Indicators/Statistics</w:t>
            </w:r>
          </w:p>
        </w:tc>
        <w:tc>
          <w:tcPr>
            <w:tcW w:w="3216" w:type="dxa"/>
            <w:shd w:val="clear" w:color="auto" w:fill="008080"/>
            <w:vAlign w:val="center"/>
          </w:tcPr>
          <w:p w14:paraId="621F510D" w14:textId="77777777" w:rsidR="00BB229D" w:rsidRPr="00A72CB5" w:rsidRDefault="00BB229D" w:rsidP="00A72CB5">
            <w:pPr>
              <w:spacing w:after="0" w:line="240" w:lineRule="auto"/>
              <w:jc w:val="center"/>
              <w:rPr>
                <w:rFonts w:cs="Arial"/>
                <w:b/>
                <w:bCs/>
                <w:color w:val="FFFFFF" w:themeColor="background1"/>
                <w:sz w:val="24"/>
                <w:szCs w:val="24"/>
              </w:rPr>
            </w:pPr>
            <w:r w:rsidRPr="00A72CB5">
              <w:rPr>
                <w:rFonts w:cs="Arial"/>
                <w:b/>
                <w:bCs/>
                <w:color w:val="FFFFFF" w:themeColor="background1"/>
                <w:sz w:val="24"/>
                <w:szCs w:val="24"/>
              </w:rPr>
              <w:t>Social/economic supplement</w:t>
            </w:r>
          </w:p>
        </w:tc>
      </w:tr>
      <w:tr w:rsidR="00BB229D" w:rsidRPr="00556A31" w14:paraId="7A887BCF" w14:textId="77777777" w:rsidTr="00A72CB5">
        <w:trPr>
          <w:jc w:val="center"/>
        </w:trPr>
        <w:tc>
          <w:tcPr>
            <w:tcW w:w="3216" w:type="dxa"/>
            <w:shd w:val="clear" w:color="auto" w:fill="C5F1F0"/>
            <w:vAlign w:val="center"/>
          </w:tcPr>
          <w:p w14:paraId="3EC2E638" w14:textId="77777777" w:rsidR="00BB229D" w:rsidRPr="00556A31" w:rsidRDefault="00BB229D" w:rsidP="00556A31">
            <w:pPr>
              <w:spacing w:after="0" w:line="240" w:lineRule="auto"/>
              <w:jc w:val="both"/>
              <w:rPr>
                <w:rFonts w:cs="Arial"/>
                <w:sz w:val="24"/>
                <w:szCs w:val="24"/>
              </w:rPr>
            </w:pPr>
            <w:r w:rsidRPr="00556A31">
              <w:rPr>
                <w:rFonts w:cs="Arial"/>
                <w:sz w:val="24"/>
                <w:szCs w:val="24"/>
              </w:rPr>
              <w:t>Economic activity</w:t>
            </w:r>
          </w:p>
        </w:tc>
        <w:tc>
          <w:tcPr>
            <w:tcW w:w="3216" w:type="dxa"/>
            <w:shd w:val="clear" w:color="auto" w:fill="C5F1F0"/>
            <w:vAlign w:val="center"/>
          </w:tcPr>
          <w:p w14:paraId="5606D253" w14:textId="77777777" w:rsidR="00BB229D" w:rsidRPr="00556A31" w:rsidRDefault="00BB229D" w:rsidP="00556A31">
            <w:pPr>
              <w:spacing w:after="0" w:line="240" w:lineRule="auto"/>
              <w:jc w:val="both"/>
              <w:rPr>
                <w:rFonts w:cs="Arial"/>
                <w:sz w:val="24"/>
                <w:szCs w:val="24"/>
              </w:rPr>
            </w:pPr>
            <w:r w:rsidRPr="00556A31">
              <w:rPr>
                <w:rFonts w:cs="Arial"/>
                <w:sz w:val="24"/>
                <w:szCs w:val="24"/>
              </w:rPr>
              <w:t>GDP, income, consumption, investment</w:t>
            </w:r>
          </w:p>
        </w:tc>
        <w:tc>
          <w:tcPr>
            <w:tcW w:w="3216" w:type="dxa"/>
            <w:shd w:val="clear" w:color="auto" w:fill="C5F1F0"/>
            <w:vAlign w:val="center"/>
          </w:tcPr>
          <w:p w14:paraId="5EBFAE24" w14:textId="77777777" w:rsidR="00BB229D" w:rsidRPr="00556A31" w:rsidRDefault="00BB229D" w:rsidP="00556A31">
            <w:pPr>
              <w:spacing w:after="0" w:line="240" w:lineRule="auto"/>
              <w:jc w:val="both"/>
              <w:rPr>
                <w:rFonts w:cs="Arial"/>
                <w:sz w:val="24"/>
                <w:szCs w:val="24"/>
              </w:rPr>
            </w:pPr>
            <w:r w:rsidRPr="00556A31">
              <w:rPr>
                <w:rFonts w:cs="Arial"/>
                <w:sz w:val="24"/>
                <w:szCs w:val="24"/>
              </w:rPr>
              <w:t>Employment, productivity, distribution</w:t>
            </w:r>
          </w:p>
        </w:tc>
      </w:tr>
      <w:tr w:rsidR="00BB229D" w:rsidRPr="00556A31" w14:paraId="6A008948" w14:textId="77777777" w:rsidTr="006B0BB1">
        <w:trPr>
          <w:jc w:val="center"/>
        </w:trPr>
        <w:tc>
          <w:tcPr>
            <w:tcW w:w="3216" w:type="dxa"/>
            <w:vAlign w:val="center"/>
          </w:tcPr>
          <w:p w14:paraId="6102A125" w14:textId="77777777" w:rsidR="00BB229D" w:rsidRPr="00556A31" w:rsidRDefault="00BB229D" w:rsidP="00556A31">
            <w:pPr>
              <w:spacing w:after="0" w:line="240" w:lineRule="auto"/>
              <w:jc w:val="both"/>
              <w:rPr>
                <w:rFonts w:cs="Arial"/>
                <w:sz w:val="24"/>
                <w:szCs w:val="24"/>
              </w:rPr>
            </w:pPr>
            <w:r w:rsidRPr="00556A31">
              <w:rPr>
                <w:rFonts w:cs="Arial"/>
                <w:sz w:val="24"/>
                <w:szCs w:val="24"/>
              </w:rPr>
              <w:t>Ambient pressure</w:t>
            </w:r>
          </w:p>
        </w:tc>
        <w:tc>
          <w:tcPr>
            <w:tcW w:w="3216" w:type="dxa"/>
            <w:vAlign w:val="center"/>
          </w:tcPr>
          <w:p w14:paraId="3CECE67A" w14:textId="77777777" w:rsidR="00BB229D" w:rsidRPr="00556A31" w:rsidRDefault="00BB229D" w:rsidP="00556A31">
            <w:pPr>
              <w:spacing w:after="0" w:line="240" w:lineRule="auto"/>
              <w:jc w:val="both"/>
              <w:rPr>
                <w:rFonts w:cs="Arial"/>
                <w:sz w:val="24"/>
                <w:szCs w:val="24"/>
                <w:lang w:val="es-MX"/>
              </w:rPr>
            </w:pPr>
            <w:r w:rsidRPr="00556A31">
              <w:rPr>
                <w:rFonts w:cs="Arial"/>
                <w:sz w:val="24"/>
                <w:szCs w:val="24"/>
              </w:rPr>
              <w:t>Emissions, waste, resource extraction</w:t>
            </w:r>
          </w:p>
        </w:tc>
        <w:tc>
          <w:tcPr>
            <w:tcW w:w="3216" w:type="dxa"/>
            <w:vAlign w:val="center"/>
          </w:tcPr>
          <w:p w14:paraId="6752AE95" w14:textId="77777777" w:rsidR="00BB229D" w:rsidRPr="00556A31" w:rsidRDefault="00BB229D" w:rsidP="00556A31">
            <w:pPr>
              <w:spacing w:after="0" w:line="240" w:lineRule="auto"/>
              <w:jc w:val="both"/>
              <w:rPr>
                <w:rFonts w:cs="Arial"/>
                <w:sz w:val="24"/>
                <w:szCs w:val="24"/>
              </w:rPr>
            </w:pPr>
            <w:r w:rsidRPr="00556A31">
              <w:rPr>
                <w:rFonts w:cs="Arial"/>
                <w:sz w:val="24"/>
                <w:szCs w:val="24"/>
              </w:rPr>
              <w:t>Territorial exposure and vulnerability</w:t>
            </w:r>
          </w:p>
        </w:tc>
      </w:tr>
      <w:tr w:rsidR="00BB229D" w:rsidRPr="00A72CB5" w14:paraId="72C1A9EC" w14:textId="77777777" w:rsidTr="00A72CB5">
        <w:trPr>
          <w:jc w:val="center"/>
        </w:trPr>
        <w:tc>
          <w:tcPr>
            <w:tcW w:w="3216" w:type="dxa"/>
            <w:shd w:val="clear" w:color="auto" w:fill="C5F1F0"/>
            <w:vAlign w:val="center"/>
          </w:tcPr>
          <w:p w14:paraId="319F725D" w14:textId="77777777" w:rsidR="00BB229D" w:rsidRPr="00556A31" w:rsidRDefault="00BB229D" w:rsidP="00556A31">
            <w:pPr>
              <w:spacing w:after="0" w:line="240" w:lineRule="auto"/>
              <w:jc w:val="both"/>
              <w:rPr>
                <w:rFonts w:cs="Arial"/>
                <w:sz w:val="24"/>
                <w:szCs w:val="24"/>
              </w:rPr>
            </w:pPr>
            <w:r w:rsidRPr="00556A31">
              <w:rPr>
                <w:rFonts w:cs="Arial"/>
                <w:sz w:val="24"/>
                <w:szCs w:val="24"/>
              </w:rPr>
              <w:t>Degradation</w:t>
            </w:r>
          </w:p>
        </w:tc>
        <w:tc>
          <w:tcPr>
            <w:tcW w:w="3216" w:type="dxa"/>
            <w:shd w:val="clear" w:color="auto" w:fill="C5F1F0"/>
            <w:vAlign w:val="center"/>
          </w:tcPr>
          <w:p w14:paraId="4CF32024" w14:textId="77777777" w:rsidR="00BB229D" w:rsidRPr="00556A31" w:rsidRDefault="00BB229D" w:rsidP="00556A31">
            <w:pPr>
              <w:spacing w:after="0" w:line="240" w:lineRule="auto"/>
              <w:jc w:val="both"/>
              <w:rPr>
                <w:rFonts w:cs="Arial"/>
                <w:sz w:val="24"/>
                <w:szCs w:val="24"/>
              </w:rPr>
            </w:pPr>
            <w:r w:rsidRPr="00556A31">
              <w:rPr>
                <w:rFonts w:cs="Arial"/>
                <w:sz w:val="24"/>
                <w:szCs w:val="24"/>
              </w:rPr>
              <w:t>Degradation costs; PINE</w:t>
            </w:r>
          </w:p>
        </w:tc>
        <w:tc>
          <w:tcPr>
            <w:tcW w:w="3216" w:type="dxa"/>
            <w:shd w:val="clear" w:color="auto" w:fill="C5F1F0"/>
            <w:vAlign w:val="center"/>
          </w:tcPr>
          <w:p w14:paraId="2624F46C" w14:textId="77777777" w:rsidR="00BB229D" w:rsidRPr="005075C4" w:rsidRDefault="00BB229D" w:rsidP="00556A31">
            <w:pPr>
              <w:spacing w:after="0" w:line="240" w:lineRule="auto"/>
              <w:jc w:val="both"/>
              <w:rPr>
                <w:rFonts w:cs="Arial"/>
                <w:sz w:val="24"/>
                <w:szCs w:val="24"/>
              </w:rPr>
            </w:pPr>
            <w:r w:rsidRPr="00556A31">
              <w:rPr>
                <w:rFonts w:cs="Arial"/>
                <w:sz w:val="24"/>
                <w:szCs w:val="24"/>
              </w:rPr>
              <w:t>Health, losses and affected groups</w:t>
            </w:r>
          </w:p>
        </w:tc>
      </w:tr>
      <w:tr w:rsidR="00BB229D" w:rsidRPr="00A72CB5" w14:paraId="1A91EAB7" w14:textId="77777777" w:rsidTr="006B0BB1">
        <w:trPr>
          <w:jc w:val="center"/>
        </w:trPr>
        <w:tc>
          <w:tcPr>
            <w:tcW w:w="3216" w:type="dxa"/>
            <w:vAlign w:val="center"/>
          </w:tcPr>
          <w:p w14:paraId="0AA0C902" w14:textId="77777777" w:rsidR="00BB229D" w:rsidRPr="00556A31" w:rsidRDefault="00BB229D" w:rsidP="00556A31">
            <w:pPr>
              <w:spacing w:after="0" w:line="240" w:lineRule="auto"/>
              <w:jc w:val="both"/>
              <w:rPr>
                <w:rFonts w:cs="Arial"/>
                <w:sz w:val="24"/>
                <w:szCs w:val="24"/>
              </w:rPr>
            </w:pPr>
            <w:r w:rsidRPr="00556A31">
              <w:rPr>
                <w:rFonts w:cs="Arial"/>
                <w:sz w:val="24"/>
                <w:szCs w:val="24"/>
              </w:rPr>
              <w:t>Natural heritage</w:t>
            </w:r>
          </w:p>
        </w:tc>
        <w:tc>
          <w:tcPr>
            <w:tcW w:w="3216" w:type="dxa"/>
            <w:vAlign w:val="center"/>
          </w:tcPr>
          <w:p w14:paraId="554C1862" w14:textId="77777777" w:rsidR="00BB229D" w:rsidRPr="00556A31" w:rsidRDefault="00BB229D" w:rsidP="00556A31">
            <w:pPr>
              <w:spacing w:after="0" w:line="240" w:lineRule="auto"/>
              <w:jc w:val="both"/>
              <w:rPr>
                <w:rFonts w:cs="Arial"/>
                <w:sz w:val="24"/>
                <w:szCs w:val="24"/>
              </w:rPr>
            </w:pPr>
            <w:r w:rsidRPr="00556A31">
              <w:rPr>
                <w:rFonts w:cs="Arial"/>
                <w:sz w:val="24"/>
                <w:szCs w:val="24"/>
              </w:rPr>
              <w:t>Environmental and ecosystem assets</w:t>
            </w:r>
          </w:p>
        </w:tc>
        <w:tc>
          <w:tcPr>
            <w:tcW w:w="3216" w:type="dxa"/>
            <w:vAlign w:val="center"/>
          </w:tcPr>
          <w:p w14:paraId="63504C74" w14:textId="77777777" w:rsidR="00BB229D" w:rsidRPr="005075C4" w:rsidRDefault="00BB229D" w:rsidP="00556A31">
            <w:pPr>
              <w:spacing w:after="0" w:line="240" w:lineRule="auto"/>
              <w:jc w:val="both"/>
              <w:rPr>
                <w:rFonts w:cs="Arial"/>
                <w:sz w:val="24"/>
                <w:szCs w:val="24"/>
              </w:rPr>
            </w:pPr>
            <w:r w:rsidRPr="00556A31">
              <w:rPr>
                <w:rFonts w:cs="Arial"/>
                <w:sz w:val="24"/>
                <w:szCs w:val="24"/>
              </w:rPr>
              <w:t>Access to and dependence on households</w:t>
            </w:r>
          </w:p>
        </w:tc>
      </w:tr>
      <w:tr w:rsidR="00BB229D" w:rsidRPr="00A72CB5" w14:paraId="7D40D1BB" w14:textId="77777777" w:rsidTr="00A72CB5">
        <w:trPr>
          <w:jc w:val="center"/>
        </w:trPr>
        <w:tc>
          <w:tcPr>
            <w:tcW w:w="3216" w:type="dxa"/>
            <w:shd w:val="clear" w:color="auto" w:fill="C5F1F0"/>
            <w:vAlign w:val="center"/>
          </w:tcPr>
          <w:p w14:paraId="6AE62986" w14:textId="77777777" w:rsidR="00BB229D" w:rsidRPr="00556A31" w:rsidRDefault="00BB229D" w:rsidP="00556A31">
            <w:pPr>
              <w:spacing w:after="0" w:line="240" w:lineRule="auto"/>
              <w:jc w:val="both"/>
              <w:rPr>
                <w:rFonts w:cs="Arial"/>
                <w:sz w:val="24"/>
                <w:szCs w:val="24"/>
              </w:rPr>
            </w:pPr>
            <w:r w:rsidRPr="00556A31">
              <w:rPr>
                <w:rFonts w:cs="Arial"/>
                <w:sz w:val="24"/>
                <w:szCs w:val="24"/>
              </w:rPr>
              <w:t>Ecosystem services</w:t>
            </w:r>
          </w:p>
        </w:tc>
        <w:tc>
          <w:tcPr>
            <w:tcW w:w="3216" w:type="dxa"/>
            <w:shd w:val="clear" w:color="auto" w:fill="C5F1F0"/>
            <w:vAlign w:val="center"/>
          </w:tcPr>
          <w:p w14:paraId="1AD3D89E" w14:textId="77777777" w:rsidR="00BB229D" w:rsidRPr="00556A31" w:rsidRDefault="00BB229D" w:rsidP="00556A31">
            <w:pPr>
              <w:spacing w:after="0" w:line="240" w:lineRule="auto"/>
              <w:jc w:val="both"/>
              <w:rPr>
                <w:rFonts w:cs="Arial"/>
                <w:sz w:val="24"/>
                <w:szCs w:val="24"/>
              </w:rPr>
            </w:pPr>
            <w:r w:rsidRPr="00556A31">
              <w:rPr>
                <w:rFonts w:cs="Arial"/>
                <w:sz w:val="24"/>
                <w:szCs w:val="24"/>
              </w:rPr>
              <w:t>Physical and monetary flows</w:t>
            </w:r>
          </w:p>
        </w:tc>
        <w:tc>
          <w:tcPr>
            <w:tcW w:w="3216" w:type="dxa"/>
            <w:shd w:val="clear" w:color="auto" w:fill="C5F1F0"/>
            <w:vAlign w:val="center"/>
          </w:tcPr>
          <w:p w14:paraId="4C29DE45" w14:textId="77777777" w:rsidR="00BB229D" w:rsidRPr="005075C4" w:rsidRDefault="00BB229D" w:rsidP="00556A31">
            <w:pPr>
              <w:spacing w:after="0" w:line="240" w:lineRule="auto"/>
              <w:jc w:val="both"/>
              <w:rPr>
                <w:rFonts w:cs="Arial"/>
                <w:sz w:val="24"/>
                <w:szCs w:val="24"/>
              </w:rPr>
            </w:pPr>
            <w:r w:rsidRPr="00556A31">
              <w:rPr>
                <w:rFonts w:cs="Arial"/>
                <w:sz w:val="24"/>
                <w:szCs w:val="24"/>
              </w:rPr>
              <w:t xml:space="preserve">Benefits </w:t>
            </w:r>
            <w:proofErr w:type="gramStart"/>
            <w:r w:rsidRPr="00556A31">
              <w:rPr>
                <w:rFonts w:cs="Arial"/>
                <w:sz w:val="24"/>
                <w:szCs w:val="24"/>
              </w:rPr>
              <w:t>by</w:t>
            </w:r>
            <w:proofErr w:type="gramEnd"/>
            <w:r w:rsidRPr="00556A31">
              <w:rPr>
                <w:rFonts w:cs="Arial"/>
                <w:sz w:val="24"/>
                <w:szCs w:val="24"/>
              </w:rPr>
              <w:t xml:space="preserve"> territory and population</w:t>
            </w:r>
          </w:p>
        </w:tc>
      </w:tr>
      <w:tr w:rsidR="00BB229D" w:rsidRPr="00A72CB5" w14:paraId="2EA77789" w14:textId="77777777" w:rsidTr="006B0BB1">
        <w:trPr>
          <w:jc w:val="center"/>
        </w:trPr>
        <w:tc>
          <w:tcPr>
            <w:tcW w:w="3216" w:type="dxa"/>
            <w:vAlign w:val="center"/>
          </w:tcPr>
          <w:p w14:paraId="3ABAFCE1" w14:textId="77777777" w:rsidR="00BB229D" w:rsidRPr="00556A31" w:rsidRDefault="00BB229D" w:rsidP="00556A31">
            <w:pPr>
              <w:spacing w:after="0" w:line="240" w:lineRule="auto"/>
              <w:jc w:val="both"/>
              <w:rPr>
                <w:rFonts w:cs="Arial"/>
                <w:sz w:val="24"/>
                <w:szCs w:val="24"/>
              </w:rPr>
            </w:pPr>
            <w:r w:rsidRPr="00556A31">
              <w:rPr>
                <w:rFonts w:cs="Arial"/>
                <w:sz w:val="24"/>
                <w:szCs w:val="24"/>
              </w:rPr>
              <w:t>Reply</w:t>
            </w:r>
          </w:p>
        </w:tc>
        <w:tc>
          <w:tcPr>
            <w:tcW w:w="3216" w:type="dxa"/>
            <w:vAlign w:val="center"/>
          </w:tcPr>
          <w:p w14:paraId="328406A7" w14:textId="0FF1FB5D" w:rsidR="00BB229D" w:rsidRPr="00556A31" w:rsidRDefault="00BB229D" w:rsidP="00556A31">
            <w:pPr>
              <w:spacing w:after="0" w:line="240" w:lineRule="auto"/>
              <w:jc w:val="both"/>
              <w:rPr>
                <w:rFonts w:cs="Arial"/>
                <w:sz w:val="24"/>
                <w:szCs w:val="24"/>
              </w:rPr>
            </w:pPr>
            <w:r w:rsidRPr="00556A31">
              <w:rPr>
                <w:rFonts w:cs="Arial"/>
                <w:sz w:val="24"/>
                <w:szCs w:val="24"/>
              </w:rPr>
              <w:t>Spending on environmental protection</w:t>
            </w:r>
          </w:p>
        </w:tc>
        <w:tc>
          <w:tcPr>
            <w:tcW w:w="3216" w:type="dxa"/>
            <w:vAlign w:val="center"/>
          </w:tcPr>
          <w:p w14:paraId="0DFFF004" w14:textId="77777777" w:rsidR="00BB229D" w:rsidRPr="005075C4" w:rsidRDefault="00BB229D" w:rsidP="00556A31">
            <w:pPr>
              <w:spacing w:after="0" w:line="240" w:lineRule="auto"/>
              <w:jc w:val="both"/>
              <w:rPr>
                <w:rFonts w:cs="Arial"/>
                <w:sz w:val="24"/>
                <w:szCs w:val="24"/>
              </w:rPr>
            </w:pPr>
            <w:r w:rsidRPr="00556A31">
              <w:rPr>
                <w:rFonts w:cs="Arial"/>
                <w:sz w:val="24"/>
                <w:szCs w:val="24"/>
              </w:rPr>
              <w:t>Investment, employment and public policy</w:t>
            </w:r>
          </w:p>
        </w:tc>
      </w:tr>
      <w:tr w:rsidR="00BB229D" w:rsidRPr="00556A31" w14:paraId="21D87C70" w14:textId="77777777" w:rsidTr="00A72CB5">
        <w:trPr>
          <w:jc w:val="center"/>
        </w:trPr>
        <w:tc>
          <w:tcPr>
            <w:tcW w:w="3216" w:type="dxa"/>
            <w:shd w:val="clear" w:color="auto" w:fill="C5F1F0"/>
            <w:vAlign w:val="center"/>
          </w:tcPr>
          <w:p w14:paraId="69A19171" w14:textId="77777777" w:rsidR="00BB229D" w:rsidRPr="00556A31" w:rsidRDefault="00BB229D" w:rsidP="00556A31">
            <w:pPr>
              <w:spacing w:after="0" w:line="240" w:lineRule="auto"/>
              <w:jc w:val="both"/>
              <w:rPr>
                <w:rFonts w:cs="Arial"/>
                <w:sz w:val="24"/>
                <w:szCs w:val="24"/>
              </w:rPr>
            </w:pPr>
            <w:r w:rsidRPr="00556A31">
              <w:rPr>
                <w:rFonts w:cs="Arial"/>
                <w:sz w:val="24"/>
                <w:szCs w:val="24"/>
              </w:rPr>
              <w:t>Sustainability</w:t>
            </w:r>
          </w:p>
        </w:tc>
        <w:tc>
          <w:tcPr>
            <w:tcW w:w="3216" w:type="dxa"/>
            <w:shd w:val="clear" w:color="auto" w:fill="C5F1F0"/>
            <w:vAlign w:val="center"/>
          </w:tcPr>
          <w:p w14:paraId="7655919C" w14:textId="77777777" w:rsidR="00BB229D" w:rsidRPr="005075C4" w:rsidRDefault="00BB229D" w:rsidP="00556A31">
            <w:pPr>
              <w:spacing w:after="0" w:line="240" w:lineRule="auto"/>
              <w:jc w:val="both"/>
              <w:rPr>
                <w:rFonts w:cs="Arial"/>
                <w:sz w:val="24"/>
                <w:szCs w:val="24"/>
              </w:rPr>
            </w:pPr>
            <w:r w:rsidRPr="00556A31">
              <w:rPr>
                <w:rFonts w:cs="Arial"/>
                <w:sz w:val="24"/>
                <w:szCs w:val="24"/>
              </w:rPr>
              <w:t>Changes in stock and condition</w:t>
            </w:r>
          </w:p>
        </w:tc>
        <w:tc>
          <w:tcPr>
            <w:tcW w:w="3216" w:type="dxa"/>
            <w:shd w:val="clear" w:color="auto" w:fill="C5F1F0"/>
            <w:vAlign w:val="center"/>
          </w:tcPr>
          <w:p w14:paraId="4BC00DA6" w14:textId="77777777" w:rsidR="00BB229D" w:rsidRPr="00556A31" w:rsidRDefault="00BB229D" w:rsidP="00556A31">
            <w:pPr>
              <w:spacing w:after="0" w:line="240" w:lineRule="auto"/>
              <w:jc w:val="both"/>
              <w:rPr>
                <w:rFonts w:cs="Arial"/>
                <w:sz w:val="24"/>
                <w:szCs w:val="24"/>
              </w:rPr>
            </w:pPr>
            <w:r w:rsidRPr="00556A31">
              <w:rPr>
                <w:rFonts w:cs="Arial"/>
                <w:sz w:val="24"/>
                <w:szCs w:val="24"/>
              </w:rPr>
              <w:t>Intergenerational well-being</w:t>
            </w:r>
          </w:p>
        </w:tc>
      </w:tr>
    </w:tbl>
    <w:p w14:paraId="092A9415" w14:textId="77777777" w:rsidR="00BB229D" w:rsidRPr="00556A31" w:rsidRDefault="00BB229D" w:rsidP="00556A31">
      <w:pPr>
        <w:spacing w:after="0" w:line="240" w:lineRule="auto"/>
        <w:jc w:val="both"/>
        <w:rPr>
          <w:rFonts w:cs="Arial"/>
          <w:sz w:val="24"/>
          <w:szCs w:val="24"/>
          <w:lang w:val="es-MX"/>
        </w:rPr>
      </w:pPr>
    </w:p>
    <w:p w14:paraId="417F905E" w14:textId="3435AEFC" w:rsidR="00BB229D" w:rsidRPr="005075C4" w:rsidRDefault="00A72CB5" w:rsidP="00556A31">
      <w:pPr>
        <w:spacing w:after="0" w:line="240" w:lineRule="auto"/>
        <w:jc w:val="both"/>
        <w:rPr>
          <w:rFonts w:cs="Arial"/>
          <w:b/>
          <w:bCs/>
          <w:sz w:val="24"/>
          <w:szCs w:val="24"/>
        </w:rPr>
      </w:pPr>
      <w:r w:rsidRPr="00556A31">
        <w:rPr>
          <w:rFonts w:cs="Arial"/>
          <w:b/>
          <w:bCs/>
          <w:sz w:val="24"/>
          <w:szCs w:val="24"/>
        </w:rPr>
        <w:t>BEYOND GDP, SUSTAINABILITY AND "LEAVING NO ONE BEHIND"</w:t>
      </w:r>
    </w:p>
    <w:p w14:paraId="5BCF7D25" w14:textId="77777777" w:rsidR="00A72CB5" w:rsidRPr="005075C4" w:rsidRDefault="00A72CB5" w:rsidP="00556A31">
      <w:pPr>
        <w:spacing w:after="0" w:line="240" w:lineRule="auto"/>
        <w:jc w:val="both"/>
        <w:rPr>
          <w:rFonts w:cs="Arial"/>
          <w:b/>
          <w:bCs/>
          <w:sz w:val="24"/>
          <w:szCs w:val="24"/>
        </w:rPr>
      </w:pPr>
    </w:p>
    <w:p w14:paraId="55D23C77" w14:textId="1A12CF66" w:rsidR="00BB229D" w:rsidRPr="005075C4" w:rsidRDefault="00BB229D" w:rsidP="00556A31">
      <w:pPr>
        <w:spacing w:after="0" w:line="240" w:lineRule="auto"/>
        <w:jc w:val="both"/>
        <w:rPr>
          <w:rFonts w:cs="Arial"/>
          <w:b/>
          <w:bCs/>
          <w:sz w:val="24"/>
          <w:szCs w:val="24"/>
        </w:rPr>
      </w:pPr>
      <w:r w:rsidRPr="00556A31">
        <w:rPr>
          <w:rFonts w:cs="Arial"/>
          <w:sz w:val="24"/>
          <w:szCs w:val="24"/>
        </w:rPr>
        <w:t xml:space="preserve">One of the main contributions of the SEEA to Beyond GDP is that it allows the Intertemporal dimension to be explicitly introduced. GDP is essentially a flow of economic activity over a period, while sustainability requires also looking at the stocks that make that activity possible. </w:t>
      </w:r>
      <w:r w:rsidRPr="00556A31">
        <w:rPr>
          <w:rFonts w:cs="Arial"/>
          <w:b/>
          <w:bCs/>
          <w:sz w:val="24"/>
          <w:szCs w:val="24"/>
        </w:rPr>
        <w:t xml:space="preserve">If a country increases its production by consuming natural assets at a rate that cannot be sustained, information on the economic flow alone can lead to </w:t>
      </w:r>
      <w:r w:rsidR="005075C4" w:rsidRPr="00556A31">
        <w:rPr>
          <w:rFonts w:cs="Arial"/>
          <w:b/>
          <w:bCs/>
          <w:sz w:val="24"/>
          <w:szCs w:val="24"/>
        </w:rPr>
        <w:t>incomplete</w:t>
      </w:r>
      <w:r w:rsidRPr="00556A31">
        <w:rPr>
          <w:rFonts w:cs="Arial"/>
          <w:b/>
          <w:bCs/>
          <w:sz w:val="24"/>
          <w:szCs w:val="24"/>
        </w:rPr>
        <w:t xml:space="preserve"> reading.</w:t>
      </w:r>
    </w:p>
    <w:p w14:paraId="557E14D6" w14:textId="77777777" w:rsidR="00EC369F" w:rsidRPr="005075C4" w:rsidRDefault="00EC369F" w:rsidP="00556A31">
      <w:pPr>
        <w:spacing w:after="0" w:line="240" w:lineRule="auto"/>
        <w:jc w:val="both"/>
        <w:rPr>
          <w:rFonts w:cs="Arial"/>
          <w:sz w:val="24"/>
          <w:szCs w:val="24"/>
        </w:rPr>
      </w:pPr>
    </w:p>
    <w:p w14:paraId="7D6684A8" w14:textId="1B4FF770" w:rsidR="00BB229D" w:rsidRPr="005075C4" w:rsidRDefault="00BB229D" w:rsidP="00556A31">
      <w:pPr>
        <w:spacing w:after="0" w:line="240" w:lineRule="auto"/>
        <w:jc w:val="both"/>
        <w:rPr>
          <w:rFonts w:cs="Arial"/>
          <w:sz w:val="24"/>
          <w:szCs w:val="24"/>
        </w:rPr>
      </w:pPr>
      <w:r w:rsidRPr="00556A31">
        <w:rPr>
          <w:rFonts w:cs="Arial"/>
          <w:sz w:val="24"/>
          <w:szCs w:val="24"/>
        </w:rPr>
        <w:t xml:space="preserve">Asset and ecosystem accounting allows us to </w:t>
      </w:r>
      <w:r w:rsidR="005075C4" w:rsidRPr="00556A31">
        <w:rPr>
          <w:rFonts w:cs="Arial"/>
          <w:sz w:val="24"/>
          <w:szCs w:val="24"/>
        </w:rPr>
        <w:t>pose questions</w:t>
      </w:r>
      <w:r w:rsidRPr="00556A31">
        <w:rPr>
          <w:rFonts w:cs="Arial"/>
          <w:sz w:val="24"/>
          <w:szCs w:val="24"/>
        </w:rPr>
        <w:t xml:space="preserve"> in terms of heritage. It is not a question of claiming that all components of nature can or should be monetized. In fact, the SEEA itself maintains physical and monetary accounts with distinct functions. Monetization can facilitate economic comparisons and analyses, while physical accounts retain information that should not be reduced to a price.</w:t>
      </w:r>
    </w:p>
    <w:p w14:paraId="46D03086" w14:textId="77777777" w:rsidR="00EC369F" w:rsidRPr="005075C4" w:rsidRDefault="00EC369F" w:rsidP="00556A31">
      <w:pPr>
        <w:spacing w:after="0" w:line="240" w:lineRule="auto"/>
        <w:jc w:val="both"/>
        <w:rPr>
          <w:rFonts w:cs="Arial"/>
          <w:sz w:val="24"/>
          <w:szCs w:val="24"/>
        </w:rPr>
      </w:pPr>
    </w:p>
    <w:p w14:paraId="60FC22A8" w14:textId="5428B54C" w:rsidR="00BB229D" w:rsidRPr="005075C4" w:rsidRDefault="00BB229D" w:rsidP="00556A31">
      <w:pPr>
        <w:spacing w:after="0" w:line="240" w:lineRule="auto"/>
        <w:jc w:val="both"/>
        <w:rPr>
          <w:rFonts w:cs="Arial"/>
          <w:sz w:val="24"/>
          <w:szCs w:val="24"/>
        </w:rPr>
      </w:pPr>
      <w:r w:rsidRPr="00556A31">
        <w:rPr>
          <w:rFonts w:cs="Arial"/>
          <w:sz w:val="24"/>
          <w:szCs w:val="24"/>
        </w:rPr>
        <w:t xml:space="preserve">The distributional dimension requires additional integration. The SEEA records relationships between the environment and the economy, but it does not replace </w:t>
      </w:r>
      <w:r w:rsidRPr="00556A31">
        <w:rPr>
          <w:rFonts w:cs="Arial"/>
          <w:sz w:val="24"/>
          <w:szCs w:val="24"/>
        </w:rPr>
        <w:lastRenderedPageBreak/>
        <w:t xml:space="preserve">statistics on income distribution, poverty, employment or health. Therefore, </w:t>
      </w:r>
      <w:r w:rsidR="0069538C" w:rsidRPr="00556A31">
        <w:rPr>
          <w:rFonts w:cs="Arial"/>
          <w:b/>
          <w:bCs/>
          <w:sz w:val="24"/>
          <w:szCs w:val="24"/>
        </w:rPr>
        <w:t>the Beyond GDP scheme should link environmental accounts with distributive accounts and social statistics</w:t>
      </w:r>
      <w:r w:rsidRPr="00556A31">
        <w:rPr>
          <w:rFonts w:cs="Arial"/>
          <w:sz w:val="24"/>
          <w:szCs w:val="24"/>
        </w:rPr>
        <w:t xml:space="preserve">. This integration would allow progress towards the principle of </w:t>
      </w:r>
      <w:r w:rsidRPr="00556A31">
        <w:rPr>
          <w:rFonts w:cs="Arial"/>
          <w:b/>
          <w:bCs/>
          <w:sz w:val="24"/>
          <w:szCs w:val="24"/>
        </w:rPr>
        <w:t>"leaving no one behind":</w:t>
      </w:r>
      <w:r w:rsidRPr="00556A31">
        <w:rPr>
          <w:rFonts w:cs="Arial"/>
          <w:sz w:val="24"/>
          <w:szCs w:val="24"/>
        </w:rPr>
        <w:t xml:space="preserve"> identifying not only how much environmental pressure changes, but also where it occurs, who depends on ecosystem services and which groups may be most vulnerable to their deterioration.</w:t>
      </w:r>
    </w:p>
    <w:p w14:paraId="76F79E7C" w14:textId="77777777" w:rsidR="00EC369F" w:rsidRPr="005075C4" w:rsidRDefault="00EC369F" w:rsidP="00556A31">
      <w:pPr>
        <w:spacing w:after="0" w:line="240" w:lineRule="auto"/>
        <w:jc w:val="both"/>
        <w:rPr>
          <w:rFonts w:cs="Arial"/>
          <w:sz w:val="24"/>
          <w:szCs w:val="24"/>
        </w:rPr>
      </w:pPr>
    </w:p>
    <w:p w14:paraId="13ED7397" w14:textId="45518DAD" w:rsidR="0069538C" w:rsidRPr="005075C4" w:rsidRDefault="00A72CB5" w:rsidP="00556A31">
      <w:pPr>
        <w:spacing w:after="0" w:line="240" w:lineRule="auto"/>
        <w:jc w:val="both"/>
        <w:rPr>
          <w:rFonts w:cs="Arial"/>
          <w:b/>
          <w:bCs/>
          <w:sz w:val="24"/>
          <w:szCs w:val="24"/>
        </w:rPr>
      </w:pPr>
      <w:r w:rsidRPr="00556A31">
        <w:rPr>
          <w:rFonts w:cs="Arial"/>
          <w:b/>
          <w:bCs/>
          <w:sz w:val="24"/>
          <w:szCs w:val="24"/>
        </w:rPr>
        <w:t xml:space="preserve">METHODOLOGICAL AND INSTITUTIONAL CHALLENGES </w:t>
      </w:r>
    </w:p>
    <w:p w14:paraId="6F406777" w14:textId="77777777" w:rsidR="00A72CB5" w:rsidRPr="005075C4" w:rsidRDefault="00A72CB5" w:rsidP="00556A31">
      <w:pPr>
        <w:spacing w:after="0" w:line="240" w:lineRule="auto"/>
        <w:jc w:val="both"/>
        <w:rPr>
          <w:rFonts w:cs="Arial"/>
          <w:b/>
          <w:bCs/>
          <w:sz w:val="24"/>
          <w:szCs w:val="24"/>
        </w:rPr>
      </w:pPr>
    </w:p>
    <w:p w14:paraId="47578CA6" w14:textId="5A693EC6" w:rsidR="00BB229D" w:rsidRPr="005075C4" w:rsidRDefault="00BB229D" w:rsidP="00556A31">
      <w:pPr>
        <w:spacing w:after="0" w:line="240" w:lineRule="auto"/>
        <w:jc w:val="both"/>
        <w:rPr>
          <w:rFonts w:cs="Arial"/>
          <w:sz w:val="24"/>
          <w:szCs w:val="24"/>
        </w:rPr>
      </w:pPr>
      <w:r w:rsidRPr="00556A31">
        <w:rPr>
          <w:rFonts w:cs="Arial"/>
          <w:b/>
          <w:bCs/>
          <w:sz w:val="24"/>
          <w:szCs w:val="24"/>
        </w:rPr>
        <w:t>The first challenge is harmonization with the SNA</w:t>
      </w:r>
      <w:r w:rsidR="005075C4">
        <w:rPr>
          <w:rFonts w:cs="Arial"/>
          <w:b/>
          <w:bCs/>
          <w:sz w:val="24"/>
          <w:szCs w:val="24"/>
        </w:rPr>
        <w:t xml:space="preserve"> 2025</w:t>
      </w:r>
      <w:r w:rsidRPr="00556A31">
        <w:rPr>
          <w:rFonts w:cs="Arial"/>
          <w:sz w:val="24"/>
          <w:szCs w:val="24"/>
        </w:rPr>
        <w:t>. The transition strategy and implementation priorities should be determined according to their national capacities. Updating should not be seen as an exclusively methodological exercise: it involves reviewing classifications, sources, historical series, valuation, and articulation between accounts.</w:t>
      </w:r>
    </w:p>
    <w:p w14:paraId="3E5A2809" w14:textId="77777777" w:rsidR="00EC369F" w:rsidRPr="005075C4" w:rsidRDefault="00EC369F" w:rsidP="00556A31">
      <w:pPr>
        <w:spacing w:after="0" w:line="240" w:lineRule="auto"/>
        <w:jc w:val="both"/>
        <w:rPr>
          <w:rFonts w:cs="Arial"/>
          <w:sz w:val="24"/>
          <w:szCs w:val="24"/>
        </w:rPr>
      </w:pPr>
    </w:p>
    <w:p w14:paraId="04BB8969" w14:textId="58D588D3" w:rsidR="00BB229D" w:rsidRPr="005075C4" w:rsidRDefault="00BB229D" w:rsidP="00556A31">
      <w:pPr>
        <w:spacing w:after="0" w:line="240" w:lineRule="auto"/>
        <w:jc w:val="both"/>
        <w:rPr>
          <w:rFonts w:cs="Arial"/>
          <w:sz w:val="24"/>
          <w:szCs w:val="24"/>
        </w:rPr>
      </w:pPr>
      <w:r w:rsidRPr="00556A31">
        <w:rPr>
          <w:rFonts w:cs="Arial"/>
          <w:b/>
          <w:bCs/>
          <w:sz w:val="24"/>
          <w:szCs w:val="24"/>
        </w:rPr>
        <w:t>The second challenge is the integration of the SEEA-CF and the SEEA-EA.</w:t>
      </w:r>
      <w:r w:rsidRPr="00556A31">
        <w:rPr>
          <w:rFonts w:cs="Arial"/>
          <w:sz w:val="24"/>
          <w:szCs w:val="24"/>
        </w:rPr>
        <w:t xml:space="preserve"> Both frameworks reach their full Beyond GDP potential when used as parts of a common architecture. Information </w:t>
      </w:r>
      <w:r w:rsidRPr="00556A31">
        <w:rPr>
          <w:rFonts w:cs="Arial"/>
          <w:b/>
          <w:bCs/>
          <w:sz w:val="24"/>
          <w:szCs w:val="24"/>
        </w:rPr>
        <w:t>on depletion and degradation must be able to dialogue with the extent and condition of ecosystems</w:t>
      </w:r>
      <w:r w:rsidRPr="00556A31">
        <w:rPr>
          <w:rFonts w:cs="Arial"/>
          <w:sz w:val="24"/>
          <w:szCs w:val="24"/>
        </w:rPr>
        <w:t xml:space="preserve">; </w:t>
      </w:r>
      <w:r w:rsidRPr="00556A31">
        <w:rPr>
          <w:rFonts w:cs="Arial"/>
          <w:b/>
          <w:bCs/>
          <w:sz w:val="24"/>
          <w:szCs w:val="24"/>
        </w:rPr>
        <w:t>ecosystem services must be connected to productive sectors and households</w:t>
      </w:r>
      <w:r w:rsidRPr="00556A31">
        <w:rPr>
          <w:rFonts w:cs="Arial"/>
          <w:sz w:val="24"/>
          <w:szCs w:val="24"/>
        </w:rPr>
        <w:t xml:space="preserve">; and </w:t>
      </w:r>
      <w:r w:rsidRPr="00556A31">
        <w:rPr>
          <w:rFonts w:cs="Arial"/>
          <w:b/>
          <w:bCs/>
          <w:sz w:val="24"/>
          <w:szCs w:val="24"/>
        </w:rPr>
        <w:t>environmental assets must relate to economic balances</w:t>
      </w:r>
      <w:r w:rsidRPr="00556A31">
        <w:rPr>
          <w:rFonts w:cs="Arial"/>
          <w:sz w:val="24"/>
          <w:szCs w:val="24"/>
        </w:rPr>
        <w:t xml:space="preserve"> where conceptually appropriate.</w:t>
      </w:r>
    </w:p>
    <w:p w14:paraId="642EB499" w14:textId="77777777" w:rsidR="00EC369F" w:rsidRPr="005075C4" w:rsidRDefault="00EC369F" w:rsidP="00556A31">
      <w:pPr>
        <w:spacing w:after="0" w:line="240" w:lineRule="auto"/>
        <w:jc w:val="both"/>
        <w:rPr>
          <w:rFonts w:cs="Arial"/>
          <w:sz w:val="24"/>
          <w:szCs w:val="24"/>
        </w:rPr>
      </w:pPr>
    </w:p>
    <w:p w14:paraId="2993311A" w14:textId="77777777" w:rsidR="00BB229D" w:rsidRPr="005075C4" w:rsidRDefault="00BB229D" w:rsidP="00556A31">
      <w:pPr>
        <w:spacing w:after="0" w:line="240" w:lineRule="auto"/>
        <w:jc w:val="both"/>
        <w:rPr>
          <w:rFonts w:cs="Arial"/>
          <w:sz w:val="24"/>
          <w:szCs w:val="24"/>
        </w:rPr>
      </w:pPr>
      <w:r w:rsidRPr="00556A31">
        <w:rPr>
          <w:rFonts w:cs="Arial"/>
          <w:b/>
          <w:bCs/>
          <w:sz w:val="24"/>
          <w:szCs w:val="24"/>
        </w:rPr>
        <w:t>The third challenge is valuation</w:t>
      </w:r>
      <w:r w:rsidRPr="00556A31">
        <w:rPr>
          <w:rFonts w:cs="Arial"/>
          <w:sz w:val="24"/>
          <w:szCs w:val="24"/>
        </w:rPr>
        <w:t xml:space="preserve">. The </w:t>
      </w:r>
      <w:r w:rsidRPr="00556A31">
        <w:rPr>
          <w:rFonts w:cs="Arial"/>
          <w:b/>
          <w:bCs/>
          <w:sz w:val="24"/>
          <w:szCs w:val="24"/>
        </w:rPr>
        <w:t>monetary values of ecosystem services and environmental costs</w:t>
      </w:r>
      <w:r w:rsidRPr="00556A31">
        <w:rPr>
          <w:rFonts w:cs="Arial"/>
          <w:sz w:val="24"/>
          <w:szCs w:val="24"/>
        </w:rPr>
        <w:t xml:space="preserve"> depend on specific methods and assumptions. Therefore, the communication of results must clearly distinguish between physical observations, accounting estimates, and monetary valuations. Methodological transparency is essential for indicators to be useful in public decisions.</w:t>
      </w:r>
    </w:p>
    <w:p w14:paraId="365AFE3A" w14:textId="77777777" w:rsidR="00EC369F" w:rsidRPr="005075C4" w:rsidRDefault="00EC369F" w:rsidP="00556A31">
      <w:pPr>
        <w:spacing w:after="0" w:line="240" w:lineRule="auto"/>
        <w:jc w:val="both"/>
        <w:rPr>
          <w:rFonts w:cs="Arial"/>
          <w:sz w:val="24"/>
          <w:szCs w:val="24"/>
        </w:rPr>
      </w:pPr>
    </w:p>
    <w:p w14:paraId="0ECF6F84" w14:textId="0A8B13DB" w:rsidR="00BB229D" w:rsidRPr="005075C4" w:rsidRDefault="00BB229D" w:rsidP="00556A31">
      <w:pPr>
        <w:spacing w:after="0" w:line="240" w:lineRule="auto"/>
        <w:jc w:val="both"/>
        <w:rPr>
          <w:rFonts w:cs="Arial"/>
          <w:sz w:val="24"/>
          <w:szCs w:val="24"/>
        </w:rPr>
      </w:pPr>
      <w:r w:rsidRPr="00556A31">
        <w:rPr>
          <w:rFonts w:cs="Arial"/>
          <w:b/>
          <w:bCs/>
          <w:sz w:val="24"/>
          <w:szCs w:val="24"/>
        </w:rPr>
        <w:t>The fourth challenge is territorial</w:t>
      </w:r>
      <w:r w:rsidRPr="00556A31">
        <w:rPr>
          <w:rFonts w:cs="Arial"/>
          <w:sz w:val="24"/>
          <w:szCs w:val="24"/>
        </w:rPr>
        <w:t>. Ecosystem accounting requires spatial information, interoperability of geographic bases, and temporal continuity. In our case, Mexico has a considerable cartographic and statistical infrastructure, but the integration of economic and environmental data at subnational scales requires coordination between NSOs, environmental authorities, state and municipal governments, academic institutions, and other information producers.</w:t>
      </w:r>
    </w:p>
    <w:p w14:paraId="7F206736" w14:textId="77777777" w:rsidR="00EC369F" w:rsidRPr="005075C4" w:rsidRDefault="00EC369F" w:rsidP="00556A31">
      <w:pPr>
        <w:spacing w:after="0" w:line="240" w:lineRule="auto"/>
        <w:jc w:val="both"/>
        <w:rPr>
          <w:rFonts w:cs="Arial"/>
          <w:sz w:val="24"/>
          <w:szCs w:val="24"/>
        </w:rPr>
      </w:pPr>
    </w:p>
    <w:p w14:paraId="41BE25EC" w14:textId="19248F8F" w:rsidR="00F821DF" w:rsidRPr="005075C4" w:rsidRDefault="00BB229D" w:rsidP="00556A31">
      <w:pPr>
        <w:spacing w:after="0" w:line="240" w:lineRule="auto"/>
        <w:jc w:val="both"/>
        <w:rPr>
          <w:rFonts w:cs="Arial"/>
          <w:sz w:val="24"/>
          <w:szCs w:val="24"/>
        </w:rPr>
      </w:pPr>
      <w:r w:rsidRPr="00556A31">
        <w:rPr>
          <w:rFonts w:cs="Arial"/>
          <w:b/>
          <w:bCs/>
          <w:sz w:val="24"/>
          <w:szCs w:val="24"/>
        </w:rPr>
        <w:t>The fifth challenge is one of communication</w:t>
      </w:r>
      <w:r w:rsidRPr="00556A31">
        <w:rPr>
          <w:rFonts w:cs="Arial"/>
          <w:sz w:val="24"/>
          <w:szCs w:val="24"/>
        </w:rPr>
        <w:t xml:space="preserve">. A Beyond GDP framework will be of little use if it is presented as an extensive list of indicators without hierarchy. Communication must explain what each account measures, what question it answers and what it does not allow to conclude. In this sense, </w:t>
      </w:r>
      <w:r w:rsidRPr="00556A31">
        <w:rPr>
          <w:rFonts w:cs="Arial"/>
          <w:b/>
          <w:bCs/>
          <w:sz w:val="24"/>
          <w:szCs w:val="24"/>
        </w:rPr>
        <w:t>the value of the SEEA is both in its results and in the conceptual discipline it imposes</w:t>
      </w:r>
      <w:r w:rsidRPr="00556A31">
        <w:rPr>
          <w:rFonts w:cs="Arial"/>
          <w:sz w:val="24"/>
          <w:szCs w:val="24"/>
        </w:rPr>
        <w:t>.</w:t>
      </w:r>
    </w:p>
    <w:p w14:paraId="4024AD4A" w14:textId="77777777" w:rsidR="00F821DF" w:rsidRPr="005075C4" w:rsidRDefault="00F821DF" w:rsidP="00556A31">
      <w:pPr>
        <w:spacing w:after="0" w:line="240" w:lineRule="auto"/>
        <w:jc w:val="both"/>
        <w:rPr>
          <w:rFonts w:cs="Arial"/>
          <w:sz w:val="24"/>
          <w:szCs w:val="24"/>
        </w:rPr>
      </w:pPr>
    </w:p>
    <w:p w14:paraId="5F33C12D" w14:textId="11489784" w:rsidR="00BB229D" w:rsidRPr="005075C4" w:rsidRDefault="00A72CB5" w:rsidP="00556A31">
      <w:pPr>
        <w:spacing w:after="0" w:line="240" w:lineRule="auto"/>
        <w:jc w:val="both"/>
        <w:rPr>
          <w:rFonts w:cs="Arial"/>
          <w:b/>
          <w:bCs/>
          <w:sz w:val="24"/>
          <w:szCs w:val="24"/>
        </w:rPr>
      </w:pPr>
      <w:r w:rsidRPr="00556A31">
        <w:rPr>
          <w:rFonts w:cs="Arial"/>
          <w:b/>
          <w:bCs/>
          <w:sz w:val="24"/>
          <w:szCs w:val="24"/>
        </w:rPr>
        <w:t>THE TASKS TO FOLLOW</w:t>
      </w:r>
    </w:p>
    <w:p w14:paraId="199A37AA" w14:textId="77777777" w:rsidR="00A72CB5" w:rsidRPr="005075C4" w:rsidRDefault="00A72CB5" w:rsidP="00556A31">
      <w:pPr>
        <w:spacing w:after="0" w:line="240" w:lineRule="auto"/>
        <w:jc w:val="both"/>
        <w:rPr>
          <w:rFonts w:cs="Arial"/>
          <w:b/>
          <w:bCs/>
          <w:sz w:val="24"/>
          <w:szCs w:val="24"/>
        </w:rPr>
      </w:pPr>
    </w:p>
    <w:p w14:paraId="38E66F6B" w14:textId="77777777" w:rsidR="00556A31" w:rsidRPr="005075C4" w:rsidRDefault="00BB229D" w:rsidP="00556A31">
      <w:pPr>
        <w:spacing w:after="0" w:line="240" w:lineRule="auto"/>
        <w:jc w:val="both"/>
        <w:rPr>
          <w:rFonts w:cs="Arial"/>
          <w:sz w:val="24"/>
          <w:szCs w:val="24"/>
        </w:rPr>
      </w:pPr>
      <w:r w:rsidRPr="00556A31">
        <w:rPr>
          <w:rFonts w:cs="Arial"/>
          <w:sz w:val="24"/>
          <w:szCs w:val="24"/>
        </w:rPr>
        <w:t xml:space="preserve">Based on the existing infrastructure and international updates, it is considered pertinent to work on a work plan that considers the following points: </w:t>
      </w:r>
    </w:p>
    <w:p w14:paraId="584F641D" w14:textId="77777777" w:rsidR="00556A31" w:rsidRPr="005075C4" w:rsidRDefault="00556A31" w:rsidP="00556A31">
      <w:pPr>
        <w:spacing w:after="0" w:line="240" w:lineRule="auto"/>
        <w:jc w:val="both"/>
        <w:rPr>
          <w:rFonts w:cs="Arial"/>
          <w:sz w:val="24"/>
          <w:szCs w:val="24"/>
        </w:rPr>
      </w:pPr>
    </w:p>
    <w:p w14:paraId="3E85F7B6" w14:textId="3C1FC15C" w:rsidR="00556A31" w:rsidRPr="005075C4" w:rsidRDefault="00F821DF" w:rsidP="00556A31">
      <w:pPr>
        <w:pStyle w:val="Prrafodelista"/>
        <w:numPr>
          <w:ilvl w:val="0"/>
          <w:numId w:val="22"/>
        </w:numPr>
        <w:spacing w:after="0" w:line="240" w:lineRule="auto"/>
        <w:jc w:val="both"/>
        <w:rPr>
          <w:rFonts w:cs="Arial"/>
          <w:sz w:val="24"/>
          <w:szCs w:val="24"/>
        </w:rPr>
      </w:pPr>
      <w:r w:rsidRPr="00556A31">
        <w:rPr>
          <w:rFonts w:cs="Arial"/>
          <w:b/>
          <w:bCs/>
          <w:sz w:val="24"/>
          <w:szCs w:val="24"/>
        </w:rPr>
        <w:lastRenderedPageBreak/>
        <w:t>Conceptual alignment</w:t>
      </w:r>
      <w:r w:rsidR="00BB229D" w:rsidRPr="00556A31">
        <w:rPr>
          <w:rFonts w:cs="Arial"/>
          <w:sz w:val="24"/>
          <w:szCs w:val="24"/>
        </w:rPr>
        <w:t xml:space="preserve">. Review the correspondence between the SEEA-CF, SEEA-EA, </w:t>
      </w:r>
      <w:r w:rsidR="005075C4">
        <w:rPr>
          <w:rFonts w:cs="Arial"/>
          <w:sz w:val="24"/>
          <w:szCs w:val="24"/>
        </w:rPr>
        <w:t>SNA</w:t>
      </w:r>
      <w:r w:rsidR="00BB229D" w:rsidRPr="00556A31">
        <w:rPr>
          <w:rFonts w:cs="Arial"/>
          <w:sz w:val="24"/>
          <w:szCs w:val="24"/>
        </w:rPr>
        <w:t xml:space="preserve"> 2025 and the SEEA-CF update, </w:t>
      </w:r>
      <w:r w:rsidR="00BB229D" w:rsidRPr="00556A31">
        <w:rPr>
          <w:rFonts w:cs="Arial"/>
          <w:b/>
          <w:bCs/>
          <w:sz w:val="24"/>
          <w:szCs w:val="24"/>
        </w:rPr>
        <w:t>identifying necessary changes in classifications, assets, flows and terminology</w:t>
      </w:r>
      <w:r w:rsidR="00BB229D" w:rsidRPr="00556A31">
        <w:rPr>
          <w:rFonts w:cs="Arial"/>
          <w:sz w:val="24"/>
          <w:szCs w:val="24"/>
        </w:rPr>
        <w:t>.</w:t>
      </w:r>
    </w:p>
    <w:p w14:paraId="47C01483" w14:textId="4E0C5B15" w:rsidR="00BB229D" w:rsidRPr="005075C4" w:rsidRDefault="00F821DF" w:rsidP="00556A31">
      <w:pPr>
        <w:pStyle w:val="Prrafodelista"/>
        <w:numPr>
          <w:ilvl w:val="0"/>
          <w:numId w:val="22"/>
        </w:numPr>
        <w:spacing w:after="0" w:line="240" w:lineRule="auto"/>
        <w:jc w:val="both"/>
        <w:rPr>
          <w:rFonts w:cs="Arial"/>
          <w:sz w:val="24"/>
          <w:szCs w:val="24"/>
        </w:rPr>
      </w:pPr>
      <w:r w:rsidRPr="00556A31">
        <w:rPr>
          <w:rFonts w:cs="Arial"/>
          <w:sz w:val="24"/>
          <w:szCs w:val="24"/>
        </w:rPr>
        <w:t xml:space="preserve">Integration of bases. Build data structures that allow linking economic, environmental and ecosystem accounts through </w:t>
      </w:r>
      <w:r w:rsidR="00BB229D" w:rsidRPr="00556A31">
        <w:rPr>
          <w:rFonts w:cs="Arial"/>
          <w:b/>
          <w:bCs/>
          <w:sz w:val="24"/>
          <w:szCs w:val="24"/>
        </w:rPr>
        <w:t>common classifications, territorial identifiers and consistent time series</w:t>
      </w:r>
      <w:r w:rsidR="00BB229D" w:rsidRPr="00556A31">
        <w:rPr>
          <w:rFonts w:cs="Arial"/>
          <w:sz w:val="24"/>
          <w:szCs w:val="24"/>
        </w:rPr>
        <w:t>.</w:t>
      </w:r>
    </w:p>
    <w:p w14:paraId="2EDFD010" w14:textId="58CA87D8" w:rsidR="00BB229D" w:rsidRPr="005075C4" w:rsidRDefault="00F821DF" w:rsidP="00556A31">
      <w:pPr>
        <w:pStyle w:val="Prrafodelista"/>
        <w:numPr>
          <w:ilvl w:val="0"/>
          <w:numId w:val="22"/>
        </w:numPr>
        <w:spacing w:after="0" w:line="240" w:lineRule="auto"/>
        <w:jc w:val="both"/>
        <w:rPr>
          <w:rFonts w:cs="Arial"/>
          <w:sz w:val="24"/>
          <w:szCs w:val="24"/>
        </w:rPr>
      </w:pPr>
      <w:r w:rsidRPr="00556A31">
        <w:rPr>
          <w:rFonts w:cs="Arial"/>
          <w:b/>
          <w:bCs/>
          <w:sz w:val="24"/>
          <w:szCs w:val="24"/>
        </w:rPr>
        <w:t>Beyond GDP indicators</w:t>
      </w:r>
      <w:r w:rsidR="00BB229D" w:rsidRPr="00556A31">
        <w:rPr>
          <w:rFonts w:cs="Arial"/>
          <w:sz w:val="24"/>
          <w:szCs w:val="24"/>
        </w:rPr>
        <w:t>. Select a compact set of indicators derived from the accounts, organized by economic activity, well-being, environmental pressure, ecosystem condition, and sustainability of natural heritage.</w:t>
      </w:r>
    </w:p>
    <w:p w14:paraId="5B3DD3EC" w14:textId="59F8FEFA" w:rsidR="00BB229D" w:rsidRPr="005075C4" w:rsidRDefault="00F821DF" w:rsidP="00556A31">
      <w:pPr>
        <w:pStyle w:val="Prrafodelista"/>
        <w:numPr>
          <w:ilvl w:val="0"/>
          <w:numId w:val="22"/>
        </w:numPr>
        <w:spacing w:after="0" w:line="240" w:lineRule="auto"/>
        <w:jc w:val="both"/>
        <w:rPr>
          <w:rFonts w:cs="Arial"/>
          <w:sz w:val="24"/>
          <w:szCs w:val="24"/>
        </w:rPr>
      </w:pPr>
      <w:r w:rsidRPr="00556A31">
        <w:rPr>
          <w:rFonts w:cs="Arial"/>
          <w:b/>
          <w:bCs/>
          <w:sz w:val="24"/>
          <w:szCs w:val="24"/>
        </w:rPr>
        <w:t>Territorial and distributive disaggregation</w:t>
      </w:r>
      <w:r w:rsidR="00BB229D" w:rsidRPr="00556A31">
        <w:rPr>
          <w:rFonts w:cs="Arial"/>
          <w:sz w:val="24"/>
          <w:szCs w:val="24"/>
        </w:rPr>
        <w:t>. Develop indicators that allow the identification of differences between territories and, when the information allows it, between population groups and economic sectors dependent on ecosystem services.</w:t>
      </w:r>
    </w:p>
    <w:p w14:paraId="6DF7E3F7" w14:textId="069BAFAE" w:rsidR="00BB229D" w:rsidRPr="005075C4" w:rsidRDefault="00F821DF" w:rsidP="00556A31">
      <w:pPr>
        <w:pStyle w:val="Prrafodelista"/>
        <w:numPr>
          <w:ilvl w:val="0"/>
          <w:numId w:val="22"/>
        </w:numPr>
        <w:spacing w:after="0" w:line="240" w:lineRule="auto"/>
        <w:jc w:val="both"/>
        <w:rPr>
          <w:rFonts w:cs="Arial"/>
          <w:sz w:val="24"/>
          <w:szCs w:val="24"/>
        </w:rPr>
      </w:pPr>
      <w:r w:rsidRPr="00556A31">
        <w:rPr>
          <w:rFonts w:cs="Arial"/>
          <w:b/>
          <w:bCs/>
          <w:sz w:val="24"/>
          <w:szCs w:val="24"/>
        </w:rPr>
        <w:t>Institutionalization</w:t>
      </w:r>
      <w:r w:rsidR="00BB229D" w:rsidRPr="00556A31">
        <w:rPr>
          <w:rFonts w:cs="Arial"/>
          <w:sz w:val="24"/>
          <w:szCs w:val="24"/>
        </w:rPr>
        <w:t>. Integrate the use of accounts in processes of planning, evaluation and monitoring of public policies, so that the SEEA becomes a statistical infrastructure of recurrent use in decision-making.</w:t>
      </w:r>
    </w:p>
    <w:p w14:paraId="54E5E80E" w14:textId="77777777" w:rsidR="00F821DF" w:rsidRPr="005075C4" w:rsidRDefault="00F821DF" w:rsidP="00556A31">
      <w:pPr>
        <w:spacing w:after="0" w:line="240" w:lineRule="auto"/>
        <w:jc w:val="both"/>
        <w:rPr>
          <w:rFonts w:cs="Arial"/>
          <w:sz w:val="24"/>
          <w:szCs w:val="24"/>
        </w:rPr>
      </w:pPr>
    </w:p>
    <w:p w14:paraId="59F175C3" w14:textId="2032B8E5" w:rsidR="00BB229D" w:rsidRPr="005075C4" w:rsidRDefault="00A72CB5" w:rsidP="00556A31">
      <w:pPr>
        <w:spacing w:after="0" w:line="240" w:lineRule="auto"/>
        <w:jc w:val="both"/>
        <w:rPr>
          <w:rFonts w:cs="Arial"/>
          <w:b/>
          <w:bCs/>
          <w:sz w:val="24"/>
          <w:szCs w:val="24"/>
        </w:rPr>
      </w:pPr>
      <w:r w:rsidRPr="00A72CB5">
        <w:rPr>
          <w:rFonts w:cs="Arial"/>
          <w:b/>
          <w:bCs/>
          <w:sz w:val="24"/>
          <w:szCs w:val="24"/>
        </w:rPr>
        <w:t>CONCLUSIONS</w:t>
      </w:r>
    </w:p>
    <w:p w14:paraId="7EBEE5B9" w14:textId="77777777" w:rsidR="00A72CB5" w:rsidRPr="005075C4" w:rsidRDefault="00A72CB5" w:rsidP="00556A31">
      <w:pPr>
        <w:spacing w:after="0" w:line="240" w:lineRule="auto"/>
        <w:jc w:val="both"/>
        <w:rPr>
          <w:rFonts w:cs="Arial"/>
          <w:sz w:val="24"/>
          <w:szCs w:val="24"/>
        </w:rPr>
      </w:pPr>
    </w:p>
    <w:p w14:paraId="1F3F9D92" w14:textId="1165857E" w:rsidR="00BB229D" w:rsidRPr="005075C4" w:rsidRDefault="00BB229D" w:rsidP="00556A31">
      <w:pPr>
        <w:spacing w:after="0" w:line="240" w:lineRule="auto"/>
        <w:jc w:val="both"/>
        <w:rPr>
          <w:rFonts w:cs="Arial"/>
          <w:sz w:val="24"/>
          <w:szCs w:val="24"/>
        </w:rPr>
      </w:pPr>
      <w:r w:rsidRPr="00556A31">
        <w:rPr>
          <w:rFonts w:cs="Arial"/>
          <w:sz w:val="24"/>
          <w:szCs w:val="24"/>
        </w:rPr>
        <w:t xml:space="preserve">The Beyond GDP discussion requires a transformation of the official information architecture rather than simply replacing one indicator with another. GDP will continue to be indispensable for measuring economic activity, so the challenge is to complement it with information that allows </w:t>
      </w:r>
      <w:r w:rsidRPr="00556A31">
        <w:rPr>
          <w:rFonts w:cs="Arial"/>
          <w:b/>
          <w:bCs/>
          <w:sz w:val="24"/>
          <w:szCs w:val="24"/>
        </w:rPr>
        <w:t>us to assess well-being, distribution and sustainability</w:t>
      </w:r>
      <w:r w:rsidRPr="00556A31">
        <w:rPr>
          <w:rFonts w:cs="Arial"/>
          <w:sz w:val="24"/>
          <w:szCs w:val="24"/>
        </w:rPr>
        <w:t>.</w:t>
      </w:r>
    </w:p>
    <w:p w14:paraId="77877F09" w14:textId="77777777" w:rsidR="00EC369F" w:rsidRPr="005075C4" w:rsidRDefault="00EC369F" w:rsidP="00556A31">
      <w:pPr>
        <w:spacing w:after="0" w:line="240" w:lineRule="auto"/>
        <w:jc w:val="both"/>
        <w:rPr>
          <w:rFonts w:cs="Arial"/>
          <w:sz w:val="24"/>
          <w:szCs w:val="24"/>
        </w:rPr>
      </w:pPr>
    </w:p>
    <w:p w14:paraId="668CBACF" w14:textId="77777777" w:rsidR="00BB229D" w:rsidRPr="005075C4" w:rsidRDefault="00BB229D" w:rsidP="00556A31">
      <w:pPr>
        <w:spacing w:after="0" w:line="240" w:lineRule="auto"/>
        <w:jc w:val="both"/>
        <w:rPr>
          <w:rFonts w:cs="Arial"/>
          <w:sz w:val="24"/>
          <w:szCs w:val="24"/>
        </w:rPr>
      </w:pPr>
      <w:r w:rsidRPr="00556A31">
        <w:rPr>
          <w:rFonts w:cs="Arial"/>
          <w:sz w:val="24"/>
          <w:szCs w:val="24"/>
        </w:rPr>
        <w:t>The SEEA occupies a central position in this transformation because it offers the accounting language necessary to connect economy and nature. The Central Framework organizes environmental flows, assets and activities; the SEEA EA incorporates extension, condition, ecosystem services and ecosystem assets. Together they form a statistical infrastructure capable of making visible a part of the relationship between nature, economy and well-being that remains outside conventional macroeconomic indicators.</w:t>
      </w:r>
    </w:p>
    <w:p w14:paraId="3520EF27" w14:textId="77777777" w:rsidR="00EC369F" w:rsidRPr="005075C4" w:rsidRDefault="00EC369F" w:rsidP="00556A31">
      <w:pPr>
        <w:spacing w:after="0" w:line="240" w:lineRule="auto"/>
        <w:jc w:val="both"/>
        <w:rPr>
          <w:rFonts w:cs="Arial"/>
          <w:sz w:val="24"/>
          <w:szCs w:val="24"/>
        </w:rPr>
      </w:pPr>
    </w:p>
    <w:p w14:paraId="3FE7900F" w14:textId="7C165819" w:rsidR="00BB229D" w:rsidRPr="005075C4" w:rsidRDefault="00BB229D" w:rsidP="00556A31">
      <w:pPr>
        <w:spacing w:after="0" w:line="240" w:lineRule="auto"/>
        <w:jc w:val="both"/>
        <w:rPr>
          <w:rFonts w:cs="Arial"/>
          <w:b/>
          <w:bCs/>
          <w:sz w:val="24"/>
          <w:szCs w:val="24"/>
        </w:rPr>
      </w:pPr>
      <w:r w:rsidRPr="00556A31">
        <w:rPr>
          <w:rFonts w:cs="Arial"/>
          <w:sz w:val="24"/>
          <w:szCs w:val="24"/>
        </w:rPr>
        <w:t xml:space="preserve">Recent updates reinforce this conclusion. The SEEA-EA is already an international standard since 2021; the 2025 SNA is already in use and strengthens the relationship between national accounts, well-being and sustainability; and </w:t>
      </w:r>
      <w:r w:rsidRPr="00556A31">
        <w:rPr>
          <w:rFonts w:cs="Arial"/>
          <w:b/>
          <w:bCs/>
          <w:sz w:val="24"/>
          <w:szCs w:val="24"/>
        </w:rPr>
        <w:t>the SEEA Central Framework is in the process of being updated to respond to new demands and maintain its consistency with contemporary statistical standards.</w:t>
      </w:r>
    </w:p>
    <w:p w14:paraId="0C3CB5D0" w14:textId="77777777" w:rsidR="00EC369F" w:rsidRPr="005075C4" w:rsidRDefault="00EC369F" w:rsidP="00556A31">
      <w:pPr>
        <w:spacing w:after="0" w:line="240" w:lineRule="auto"/>
        <w:jc w:val="both"/>
        <w:rPr>
          <w:rFonts w:cs="Arial"/>
          <w:sz w:val="24"/>
          <w:szCs w:val="24"/>
        </w:rPr>
      </w:pPr>
    </w:p>
    <w:p w14:paraId="74C5586A" w14:textId="237BD760" w:rsidR="00EC369F" w:rsidRPr="005075C4" w:rsidRDefault="00D2463F" w:rsidP="00556A31">
      <w:pPr>
        <w:spacing w:after="0" w:line="240" w:lineRule="auto"/>
        <w:jc w:val="both"/>
        <w:rPr>
          <w:rFonts w:cs="Arial"/>
          <w:sz w:val="24"/>
          <w:szCs w:val="24"/>
        </w:rPr>
      </w:pPr>
      <w:r w:rsidRPr="00556A31">
        <w:rPr>
          <w:rFonts w:cs="Arial"/>
          <w:sz w:val="24"/>
          <w:szCs w:val="24"/>
        </w:rPr>
        <w:t xml:space="preserve">For us, Beyond GDP does not have to start from scratch. The transition can be built on existing accounting systems, through a strategy of progressive harmonization with the SNA 2025 and the updating of the SEEA. The institutional challenge is to turn this infrastructure into an integrated, understandable system and </w:t>
      </w:r>
      <w:r w:rsidR="00BB229D" w:rsidRPr="00556A31">
        <w:rPr>
          <w:rFonts w:cs="Arial"/>
          <w:b/>
          <w:bCs/>
          <w:sz w:val="24"/>
          <w:szCs w:val="24"/>
        </w:rPr>
        <w:t>use it regularly to assess whether economic growth is accompanied by sustainable improvements in well-being and by the conservation of the natural heritage that makes it possible</w:t>
      </w:r>
      <w:r w:rsidR="00BB229D" w:rsidRPr="00556A31">
        <w:rPr>
          <w:rFonts w:cs="Arial"/>
          <w:sz w:val="24"/>
          <w:szCs w:val="24"/>
        </w:rPr>
        <w:t>.</w:t>
      </w:r>
    </w:p>
    <w:sectPr w:rsidR="00EC369F" w:rsidRPr="005075C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5E19"/>
    <w:multiLevelType w:val="multilevel"/>
    <w:tmpl w:val="6F06D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12422D"/>
    <w:multiLevelType w:val="multilevel"/>
    <w:tmpl w:val="D7764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E87E5C"/>
    <w:multiLevelType w:val="multilevel"/>
    <w:tmpl w:val="D648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D85B07"/>
    <w:multiLevelType w:val="multilevel"/>
    <w:tmpl w:val="AD867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3150C5F"/>
    <w:multiLevelType w:val="multilevel"/>
    <w:tmpl w:val="745C6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FC1767"/>
    <w:multiLevelType w:val="hybridMultilevel"/>
    <w:tmpl w:val="183610DA"/>
    <w:lvl w:ilvl="0" w:tplc="080A0011">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0">
    <w:nsid w:val="28130A54"/>
    <w:multiLevelType w:val="hybridMultilevel"/>
    <w:tmpl w:val="ADA046E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313A4684"/>
    <w:multiLevelType w:val="multilevel"/>
    <w:tmpl w:val="D9EA9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34B0A20"/>
    <w:multiLevelType w:val="hybridMultilevel"/>
    <w:tmpl w:val="484E69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38E720C"/>
    <w:multiLevelType w:val="multilevel"/>
    <w:tmpl w:val="08AE7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A35F9A"/>
    <w:multiLevelType w:val="multilevel"/>
    <w:tmpl w:val="E1785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8327846"/>
    <w:multiLevelType w:val="multilevel"/>
    <w:tmpl w:val="AEA0C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B07043"/>
    <w:multiLevelType w:val="multilevel"/>
    <w:tmpl w:val="EEBE8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9456884"/>
    <w:multiLevelType w:val="multilevel"/>
    <w:tmpl w:val="9DE03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F213792"/>
    <w:multiLevelType w:val="multilevel"/>
    <w:tmpl w:val="2C40F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02066FE"/>
    <w:multiLevelType w:val="hybridMultilevel"/>
    <w:tmpl w:val="DE1204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6C3B572B"/>
    <w:multiLevelType w:val="multilevel"/>
    <w:tmpl w:val="9C3AF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3AE1AB4"/>
    <w:multiLevelType w:val="multilevel"/>
    <w:tmpl w:val="49A80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4D13621"/>
    <w:multiLevelType w:val="multilevel"/>
    <w:tmpl w:val="BA56F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534149E"/>
    <w:multiLevelType w:val="multilevel"/>
    <w:tmpl w:val="37A88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5732118"/>
    <w:multiLevelType w:val="multilevel"/>
    <w:tmpl w:val="8722C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3C6E3A"/>
    <w:multiLevelType w:val="hybridMultilevel"/>
    <w:tmpl w:val="0FE0891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008558463">
    <w:abstractNumId w:val="7"/>
  </w:num>
  <w:num w:numId="2" w16cid:durableId="1213687648">
    <w:abstractNumId w:val="1"/>
  </w:num>
  <w:num w:numId="3" w16cid:durableId="1628898506">
    <w:abstractNumId w:val="2"/>
  </w:num>
  <w:num w:numId="4" w16cid:durableId="239143765">
    <w:abstractNumId w:val="14"/>
  </w:num>
  <w:num w:numId="5" w16cid:durableId="996691516">
    <w:abstractNumId w:val="20"/>
  </w:num>
  <w:num w:numId="6" w16cid:durableId="1941331789">
    <w:abstractNumId w:val="4"/>
  </w:num>
  <w:num w:numId="7" w16cid:durableId="195315824">
    <w:abstractNumId w:val="12"/>
  </w:num>
  <w:num w:numId="8" w16cid:durableId="264768441">
    <w:abstractNumId w:val="9"/>
  </w:num>
  <w:num w:numId="9" w16cid:durableId="1262033456">
    <w:abstractNumId w:val="17"/>
  </w:num>
  <w:num w:numId="10" w16cid:durableId="358749239">
    <w:abstractNumId w:val="16"/>
  </w:num>
  <w:num w:numId="11" w16cid:durableId="703017412">
    <w:abstractNumId w:val="11"/>
  </w:num>
  <w:num w:numId="12" w16cid:durableId="941766594">
    <w:abstractNumId w:val="18"/>
  </w:num>
  <w:num w:numId="13" w16cid:durableId="567882013">
    <w:abstractNumId w:val="10"/>
  </w:num>
  <w:num w:numId="14" w16cid:durableId="1941253153">
    <w:abstractNumId w:val="19"/>
  </w:num>
  <w:num w:numId="15" w16cid:durableId="1970548333">
    <w:abstractNumId w:val="3"/>
  </w:num>
  <w:num w:numId="16" w16cid:durableId="422604310">
    <w:abstractNumId w:val="13"/>
  </w:num>
  <w:num w:numId="17" w16cid:durableId="861012077">
    <w:abstractNumId w:val="0"/>
  </w:num>
  <w:num w:numId="18" w16cid:durableId="1009989764">
    <w:abstractNumId w:val="15"/>
  </w:num>
  <w:num w:numId="19" w16cid:durableId="1834182283">
    <w:abstractNumId w:val="8"/>
  </w:num>
  <w:num w:numId="20" w16cid:durableId="1640190774">
    <w:abstractNumId w:val="5"/>
  </w:num>
  <w:num w:numId="21" w16cid:durableId="1353341657">
    <w:abstractNumId w:val="21"/>
  </w:num>
  <w:num w:numId="22" w16cid:durableId="7150798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643E"/>
    <w:rsid w:val="00040B49"/>
    <w:rsid w:val="00044715"/>
    <w:rsid w:val="000F39E3"/>
    <w:rsid w:val="00136684"/>
    <w:rsid w:val="001B15B7"/>
    <w:rsid w:val="002C4259"/>
    <w:rsid w:val="0043643E"/>
    <w:rsid w:val="00463CBE"/>
    <w:rsid w:val="005075C4"/>
    <w:rsid w:val="00556A31"/>
    <w:rsid w:val="005B11EA"/>
    <w:rsid w:val="0060712D"/>
    <w:rsid w:val="0069538C"/>
    <w:rsid w:val="006D18BB"/>
    <w:rsid w:val="00725EC5"/>
    <w:rsid w:val="00762925"/>
    <w:rsid w:val="00784068"/>
    <w:rsid w:val="00785D5E"/>
    <w:rsid w:val="007B1764"/>
    <w:rsid w:val="007E40AD"/>
    <w:rsid w:val="00846884"/>
    <w:rsid w:val="00854C5E"/>
    <w:rsid w:val="008573AC"/>
    <w:rsid w:val="00864477"/>
    <w:rsid w:val="008840D0"/>
    <w:rsid w:val="008B1DC4"/>
    <w:rsid w:val="008D6C70"/>
    <w:rsid w:val="009940E9"/>
    <w:rsid w:val="009C0893"/>
    <w:rsid w:val="00A62013"/>
    <w:rsid w:val="00A72CB5"/>
    <w:rsid w:val="00AD23BD"/>
    <w:rsid w:val="00B17B5A"/>
    <w:rsid w:val="00B566CD"/>
    <w:rsid w:val="00BB229D"/>
    <w:rsid w:val="00D2463F"/>
    <w:rsid w:val="00D254B2"/>
    <w:rsid w:val="00D44989"/>
    <w:rsid w:val="00DD797B"/>
    <w:rsid w:val="00DF7319"/>
    <w:rsid w:val="00E70ACC"/>
    <w:rsid w:val="00EC369F"/>
    <w:rsid w:val="00F77736"/>
    <w:rsid w:val="00F821DF"/>
    <w:rsid w:val="00FA1AD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07F63E"/>
  <w15:chartTrackingRefBased/>
  <w15:docId w15:val="{5E845002-6AFF-4FE8-BD66-D283DEE57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643E"/>
    <w:pPr>
      <w:spacing w:after="100" w:line="259" w:lineRule="auto"/>
    </w:pPr>
    <w:rPr>
      <w:rFonts w:ascii="Arial" w:eastAsiaTheme="minorEastAsia" w:hAnsi="Arial"/>
      <w:kern w:val="0"/>
      <w:sz w:val="21"/>
      <w:szCs w:val="22"/>
      <w:lang w:val="en-US"/>
      <w14:ligatures w14:val="none"/>
    </w:rPr>
  </w:style>
  <w:style w:type="paragraph" w:styleId="Ttulo1">
    <w:name w:val="heading 1"/>
    <w:basedOn w:val="Normal"/>
    <w:next w:val="Normal"/>
    <w:link w:val="Ttulo1Car"/>
    <w:uiPriority w:val="9"/>
    <w:qFormat/>
    <w:rsid w:val="0043643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3643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3643E"/>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3643E"/>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3643E"/>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3643E"/>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3643E"/>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3643E"/>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3643E"/>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3643E"/>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3643E"/>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3643E"/>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3643E"/>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3643E"/>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3643E"/>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3643E"/>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3643E"/>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3643E"/>
    <w:rPr>
      <w:rFonts w:eastAsiaTheme="majorEastAsia" w:cstheme="majorBidi"/>
      <w:color w:val="272727" w:themeColor="text1" w:themeTint="D8"/>
    </w:rPr>
  </w:style>
  <w:style w:type="paragraph" w:styleId="Ttulo">
    <w:name w:val="Title"/>
    <w:basedOn w:val="Normal"/>
    <w:next w:val="Normal"/>
    <w:link w:val="TtuloCar"/>
    <w:uiPriority w:val="10"/>
    <w:qFormat/>
    <w:rsid w:val="004364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3643E"/>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3643E"/>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3643E"/>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3643E"/>
    <w:pPr>
      <w:spacing w:before="160"/>
      <w:jc w:val="center"/>
    </w:pPr>
    <w:rPr>
      <w:i/>
      <w:iCs/>
      <w:color w:val="404040" w:themeColor="text1" w:themeTint="BF"/>
    </w:rPr>
  </w:style>
  <w:style w:type="character" w:customStyle="1" w:styleId="CitaCar">
    <w:name w:val="Cita Car"/>
    <w:basedOn w:val="Fuentedeprrafopredeter"/>
    <w:link w:val="Cita"/>
    <w:uiPriority w:val="29"/>
    <w:rsid w:val="0043643E"/>
    <w:rPr>
      <w:i/>
      <w:iCs/>
      <w:color w:val="404040" w:themeColor="text1" w:themeTint="BF"/>
    </w:rPr>
  </w:style>
  <w:style w:type="paragraph" w:styleId="Prrafodelista">
    <w:name w:val="List Paragraph"/>
    <w:basedOn w:val="Normal"/>
    <w:uiPriority w:val="34"/>
    <w:qFormat/>
    <w:rsid w:val="0043643E"/>
    <w:pPr>
      <w:ind w:left="720"/>
      <w:contextualSpacing/>
    </w:pPr>
  </w:style>
  <w:style w:type="character" w:styleId="nfasisintenso">
    <w:name w:val="Intense Emphasis"/>
    <w:basedOn w:val="Fuentedeprrafopredeter"/>
    <w:uiPriority w:val="21"/>
    <w:qFormat/>
    <w:rsid w:val="0043643E"/>
    <w:rPr>
      <w:i/>
      <w:iCs/>
      <w:color w:val="0F4761" w:themeColor="accent1" w:themeShade="BF"/>
    </w:rPr>
  </w:style>
  <w:style w:type="paragraph" w:styleId="Citadestacada">
    <w:name w:val="Intense Quote"/>
    <w:basedOn w:val="Normal"/>
    <w:next w:val="Normal"/>
    <w:link w:val="CitadestacadaCar"/>
    <w:uiPriority w:val="30"/>
    <w:qFormat/>
    <w:rsid w:val="0043643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3643E"/>
    <w:rPr>
      <w:i/>
      <w:iCs/>
      <w:color w:val="0F4761" w:themeColor="accent1" w:themeShade="BF"/>
    </w:rPr>
  </w:style>
  <w:style w:type="character" w:styleId="Referenciaintensa">
    <w:name w:val="Intense Reference"/>
    <w:basedOn w:val="Fuentedeprrafopredeter"/>
    <w:uiPriority w:val="32"/>
    <w:qFormat/>
    <w:rsid w:val="0043643E"/>
    <w:rPr>
      <w:b/>
      <w:bCs/>
      <w:smallCaps/>
      <w:color w:val="0F4761" w:themeColor="accent1" w:themeShade="BF"/>
      <w:spacing w:val="5"/>
    </w:rPr>
  </w:style>
  <w:style w:type="character" w:styleId="Hipervnculo">
    <w:name w:val="Hyperlink"/>
    <w:basedOn w:val="Fuentedeprrafopredeter"/>
    <w:uiPriority w:val="99"/>
    <w:unhideWhenUsed/>
    <w:rsid w:val="001B15B7"/>
    <w:rPr>
      <w:color w:val="467886" w:themeColor="hyperlink"/>
      <w:u w:val="single"/>
    </w:rPr>
  </w:style>
  <w:style w:type="character" w:styleId="Hipervnculovisitado">
    <w:name w:val="FollowedHyperlink"/>
    <w:basedOn w:val="Fuentedeprrafopredeter"/>
    <w:uiPriority w:val="99"/>
    <w:semiHidden/>
    <w:unhideWhenUsed/>
    <w:rsid w:val="001B15B7"/>
    <w:rPr>
      <w:color w:val="96607D" w:themeColor="followedHyperlink"/>
      <w:u w:val="single"/>
    </w:rPr>
  </w:style>
  <w:style w:type="table" w:styleId="Tablaconcuadrcula">
    <w:name w:val="Table Grid"/>
    <w:basedOn w:val="Tablanormal"/>
    <w:uiPriority w:val="59"/>
    <w:rsid w:val="00BB229D"/>
    <w:pPr>
      <w:spacing w:after="0" w:line="240" w:lineRule="auto"/>
    </w:pPr>
    <w:rPr>
      <w:rFonts w:eastAsiaTheme="minorEastAsia"/>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7B1764"/>
    <w:pPr>
      <w:spacing w:after="0" w:line="240" w:lineRule="auto"/>
    </w:pPr>
    <w:rPr>
      <w:rFonts w:ascii="Arial" w:eastAsiaTheme="minorEastAsia" w:hAnsi="Arial"/>
      <w:kern w:val="0"/>
      <w:sz w:val="21"/>
      <w:szCs w:val="22"/>
      <w:lang w:val="en-US"/>
      <w14:ligatures w14:val="none"/>
    </w:rPr>
  </w:style>
  <w:style w:type="character" w:styleId="Textodelmarcadordeposicin">
    <w:name w:val="Placeholder Text"/>
    <w:basedOn w:val="Fuentedeprrafopredeter"/>
    <w:uiPriority w:val="99"/>
    <w:semiHidden/>
    <w:rsid w:val="005075C4"/>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67</TotalTime>
  <Pages>10</Pages>
  <Words>3841</Words>
  <Characters>21130</Characters>
  <Application>Microsoft Office Word</Application>
  <DocSecurity>0</DocSecurity>
  <Lines>176</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FIGUEROA DIAZ RAUL</dc:creator>
  <cp:keywords/>
  <dc:description/>
  <cp:lastModifiedBy>OLGUIN ROJAS HECTOR DAVID</cp:lastModifiedBy>
  <cp:revision>4</cp:revision>
  <dcterms:created xsi:type="dcterms:W3CDTF">2026-09-03T22:49:00Z</dcterms:created>
  <dcterms:modified xsi:type="dcterms:W3CDTF">2026-09-04T19:05:00Z</dcterms:modified>
</cp:coreProperties>
</file>